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center" w:leader="none" w:pos="4419"/>
          <w:tab w:val="right" w:leader="none" w:pos="8838"/>
        </w:tabs>
        <w:spacing w:after="0" w:line="240" w:lineRule="auto"/>
        <w:jc w:val="right"/>
        <w:rPr>
          <w:rFonts w:ascii="Arial" w:cs="Arial" w:eastAsia="Arial" w:hAnsi="Arial"/>
          <w:b w:val="1"/>
          <w:bCs w:val="1"/>
          <w:sz w:val="28"/>
          <w:szCs w:val="28"/>
        </w:rPr>
      </w:pPr>
      <w:r w:rsidDel="00000000" w:rsidR="00000000" w:rsidRPr="00000000">
        <w:rPr>
          <w:rFonts w:ascii="Calibri" w:cs="Calibri" w:eastAsia="Calibri" w:hAnsi="Calibri"/>
        </w:rPr>
        <w:drawing>
          <wp:inline distB="0" distT="0" distL="0" distR="0">
            <wp:extent cx="1657350" cy="260350"/>
            <wp:effectExtent b="0" l="0" r="0" t="0"/>
            <wp:docPr descr="https://lh7-us.googleusercontent.com/BdBI6OtfRh4PsgRm6RquRPWNr_c7D7QOEyizyLEpg7TtCbKsZLr3rBFGYg1v815XNXpQxWGD6e3GJyt8tL7AGnYpIfjvIKQaWTvEvdfe2Mp9fvk_SYXJ4SD2Fyyeut2OVqEIIhJBdyLSL6Mq8Wof8g" id="1313068361" name="image1.png"/>
            <a:graphic>
              <a:graphicData uri="http://schemas.openxmlformats.org/drawingml/2006/picture">
                <pic:pic>
                  <pic:nvPicPr>
                    <pic:cNvPr descr="https://lh7-us.googleusercontent.com/BdBI6OtfRh4PsgRm6RquRPWNr_c7D7QOEyizyLEpg7TtCbKsZLr3rBFGYg1v815XNXpQxWGD6e3GJyt8tL7AGnYpIfjvIKQaWTvEvdfe2Mp9fvk_SYXJ4SD2Fyyeut2OVqEIIhJBdyLSL6Mq8Wof8g" id="0" name="image1.png"/>
                    <pic:cNvPicPr preferRelativeResize="0"/>
                  </pic:nvPicPr>
                  <pic:blipFill>
                    <a:blip r:embed="rId7"/>
                    <a:srcRect b="0" l="0" r="0" t="0"/>
                    <a:stretch>
                      <a:fillRect/>
                    </a:stretch>
                  </pic:blipFill>
                  <pic:spPr>
                    <a:xfrm>
                      <a:off x="0" y="0"/>
                      <a:ext cx="1657350" cy="2603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Style w:val="Heading3"/>
        <w:keepNext w:val="0"/>
        <w:keepLines w:val="0"/>
        <w:pBdr>
          <w:top w:color="000000" w:space="0" w:sz="0" w:val="none"/>
          <w:left w:color="000000" w:space="0" w:sz="0" w:val="none"/>
          <w:bottom w:color="000000" w:space="0" w:sz="0" w:val="none"/>
          <w:right w:color="000000" w:space="0" w:sz="0" w:val="none"/>
          <w:between w:color="000000" w:space="0" w:sz="0" w:val="none"/>
        </w:pBdr>
        <w:spacing w:after="120" w:before="0" w:line="276" w:lineRule="auto"/>
        <w:jc w:val="center"/>
        <w:rPr>
          <w:rFonts w:ascii="Arial" w:cs="Arial" w:eastAsia="Arial" w:hAnsi="Arial"/>
          <w:b w:val="1"/>
          <w:bCs w:val="1"/>
          <w:color w:val="000000"/>
        </w:rPr>
      </w:pPr>
      <w:bookmarkStart w:colFirst="0" w:colLast="0" w:name="_heading=h.nirwyo98d95f" w:id="0"/>
      <w:bookmarkEnd w:id="0"/>
      <w:r w:rsidDel="00000000" w:rsidR="00000000" w:rsidRPr="00000000">
        <w:rPr>
          <w:rtl w:val="0"/>
        </w:rPr>
      </w:r>
    </w:p>
    <w:p w:rsidR="00000000" w:rsidDel="00000000" w:rsidP="00000000" w:rsidRDefault="00000000" w:rsidRPr="00000000" w14:paraId="00000003">
      <w:pPr>
        <w:pStyle w:val="Heading3"/>
        <w:keepNext w:val="0"/>
        <w:keepLines w:val="0"/>
        <w:pBdr>
          <w:top w:color="000000" w:space="0" w:sz="0" w:val="none"/>
          <w:left w:color="000000" w:space="0" w:sz="0" w:val="none"/>
          <w:bottom w:color="000000" w:space="0" w:sz="0" w:val="none"/>
          <w:right w:color="000000" w:space="0" w:sz="0" w:val="none"/>
          <w:between w:color="000000" w:space="0" w:sz="0" w:val="none"/>
        </w:pBdr>
        <w:spacing w:after="120" w:before="0" w:line="276" w:lineRule="auto"/>
        <w:jc w:val="center"/>
        <w:rPr>
          <w:rFonts w:ascii="Arial" w:cs="Arial" w:eastAsia="Arial" w:hAnsi="Arial"/>
          <w:b w:val="1"/>
          <w:bCs w:val="1"/>
          <w:color w:val="1b1c1d"/>
          <w:sz w:val="32"/>
          <w:szCs w:val="32"/>
        </w:rPr>
      </w:pPr>
      <w:bookmarkStart w:colFirst="0" w:colLast="0" w:name="_heading=h.k3g5ib341g7b" w:id="1"/>
      <w:bookmarkEnd w:id="1"/>
      <w:r w:rsidDel="00000000" w:rsidR="00000000" w:rsidRPr="00000000">
        <w:rPr>
          <w:rFonts w:ascii="Arial" w:cs="Arial" w:eastAsia="Arial" w:hAnsi="Arial"/>
          <w:b w:val="1"/>
          <w:bCs w:val="1"/>
          <w:color w:val="1b1c1d"/>
          <w:sz w:val="32"/>
          <w:szCs w:val="32"/>
          <w:rtl w:val="0"/>
        </w:rPr>
        <w:t xml:space="preserve">Samsung es reconocida como la segunda marca con mayor reputación en Chile según IPSOS</w:t>
      </w:r>
    </w:p>
    <w:p w:rsidR="00000000" w:rsidDel="00000000" w:rsidP="00000000" w:rsidRDefault="00000000" w:rsidRPr="00000000" w14:paraId="00000004">
      <w:pPr>
        <w:pStyle w:val="Heading3"/>
        <w:keepNext w:val="0"/>
        <w:keepLines w:val="0"/>
        <w:pBdr>
          <w:top w:color="000000" w:space="0" w:sz="0" w:val="none"/>
          <w:left w:color="000000" w:space="0" w:sz="0" w:val="none"/>
          <w:bottom w:color="000000" w:space="0" w:sz="0" w:val="none"/>
          <w:right w:color="000000" w:space="0" w:sz="0" w:val="none"/>
          <w:between w:color="000000" w:space="0" w:sz="0" w:val="none"/>
        </w:pBdr>
        <w:spacing w:after="120" w:before="0" w:line="276" w:lineRule="auto"/>
        <w:jc w:val="center"/>
        <w:rPr>
          <w:rFonts w:ascii="Arial" w:cs="Arial" w:eastAsia="Arial" w:hAnsi="Arial"/>
          <w:i w:val="1"/>
          <w:iCs w:val="1"/>
          <w:color w:val="1b1c1d"/>
          <w:sz w:val="22"/>
          <w:szCs w:val="22"/>
        </w:rPr>
      </w:pPr>
      <w:bookmarkStart w:colFirst="0" w:colLast="0" w:name="_heading=h.f44y78jx50rk" w:id="2"/>
      <w:bookmarkEnd w:id="2"/>
      <w:r w:rsidDel="00000000" w:rsidR="00000000" w:rsidRPr="00000000">
        <w:rPr>
          <w:rFonts w:ascii="Arial" w:cs="Arial" w:eastAsia="Arial" w:hAnsi="Arial"/>
          <w:i w:val="1"/>
          <w:iCs w:val="1"/>
          <w:color w:val="1b1c1d"/>
          <w:sz w:val="22"/>
          <w:szCs w:val="22"/>
          <w:rtl w:val="0"/>
        </w:rPr>
        <w:t xml:space="preserve">El Estudio de Reputación Corporativa 2025 de IPSOS posiciona a Samsung en el 2º lugar del ranking nacional, en una medición con 100 compañías y más de 5.000 encuestas con representación nacional.</w:t>
      </w:r>
    </w:p>
    <w:p w:rsidR="00000000" w:rsidDel="00000000" w:rsidP="00000000" w:rsidRDefault="00000000" w:rsidRPr="00000000" w14:paraId="00000005">
      <w:pPr>
        <w:jc w:val="both"/>
        <w:rPr>
          <w:rFonts w:ascii="Arial" w:cs="Arial" w:eastAsia="Arial" w:hAnsi="Arial"/>
          <w:b w:val="1"/>
          <w:bCs w:val="1"/>
          <w:color w:val="000000"/>
        </w:rPr>
      </w:pPr>
      <w:r w:rsidDel="00000000" w:rsidR="00000000" w:rsidRPr="00000000">
        <w:rPr>
          <w:rFonts w:ascii="Arial" w:cs="Arial" w:eastAsia="Arial" w:hAnsi="Arial"/>
          <w:b w:val="1"/>
          <w:bCs w:val="1"/>
          <w:rtl w:val="0"/>
        </w:rPr>
        <w:t xml:space="preserve">Santiago, diciembre de 2025 – </w:t>
      </w:r>
      <w:r w:rsidDel="00000000" w:rsidR="00000000" w:rsidRPr="00000000">
        <w:rPr>
          <w:rFonts w:ascii="Arial" w:cs="Arial" w:eastAsia="Arial" w:hAnsi="Arial"/>
          <w:rtl w:val="0"/>
        </w:rPr>
        <w:t xml:space="preserve">Samsung alcanzó el segundo lugar del Ranking 2025 de reputación corporativa en Chile, elaborado por IPSOS, consolidando avances en confianza, innovación y calidad percibida. La medición considera 6 dimensiones clave, un benchmark frente a 25 sectores y un índice comparativo entre 100 empresas evaluadas.</w:t>
      </w:r>
      <w:r w:rsidDel="00000000" w:rsidR="00000000" w:rsidRPr="00000000">
        <w:rPr>
          <w:rtl w:val="0"/>
        </w:rPr>
      </w:r>
    </w:p>
    <w:p w:rsidR="00000000" w:rsidDel="00000000" w:rsidP="00000000" w:rsidRDefault="00000000" w:rsidRPr="00000000" w14:paraId="00000006">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El </w:t>
      </w:r>
      <w:r w:rsidDel="00000000" w:rsidR="00000000" w:rsidRPr="00000000">
        <w:rPr>
          <w:rFonts w:ascii="Arial" w:cs="Arial" w:eastAsia="Arial" w:hAnsi="Arial"/>
          <w:b w:val="1"/>
          <w:bCs w:val="1"/>
          <w:rtl w:val="0"/>
        </w:rPr>
        <w:t xml:space="preserve">Estudio de Reputación Corporativa (ERC) 2025</w:t>
      </w:r>
      <w:r w:rsidDel="00000000" w:rsidR="00000000" w:rsidRPr="00000000">
        <w:rPr>
          <w:rFonts w:ascii="Arial" w:cs="Arial" w:eastAsia="Arial" w:hAnsi="Arial"/>
          <w:rtl w:val="0"/>
        </w:rPr>
        <w:t xml:space="preserve"> situó a la compañía surcoreana entre las marcas con el desempeño reputacional más alto del país, dentro de un contexto en que la confianza ciudadana muestra señales de recuperación. </w:t>
      </w:r>
    </w:p>
    <w:p w:rsidR="00000000" w:rsidDel="00000000" w:rsidP="00000000" w:rsidRDefault="00000000" w:rsidRPr="00000000" w14:paraId="00000007">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En específico, la categoría </w:t>
      </w:r>
      <w:r w:rsidDel="00000000" w:rsidR="00000000" w:rsidRPr="00000000">
        <w:rPr>
          <w:rFonts w:ascii="Arial" w:cs="Arial" w:eastAsia="Arial" w:hAnsi="Arial"/>
          <w:b w:val="1"/>
          <w:bCs w:val="1"/>
          <w:rtl w:val="0"/>
        </w:rPr>
        <w:t xml:space="preserve">Tecnología</w:t>
      </w:r>
      <w:r w:rsidDel="00000000" w:rsidR="00000000" w:rsidRPr="00000000">
        <w:rPr>
          <w:rFonts w:ascii="Arial" w:cs="Arial" w:eastAsia="Arial" w:hAnsi="Arial"/>
          <w:rtl w:val="0"/>
        </w:rPr>
        <w:t xml:space="preserve"> se ubica entre los sectores con mejores evaluaciones, reforzando el liderazgo de las marcas con propuestas de valor centradas en innovación y experiencia de cliente. </w:t>
      </w:r>
    </w:p>
    <w:p w:rsidR="00000000" w:rsidDel="00000000" w:rsidP="00000000" w:rsidRDefault="00000000" w:rsidRPr="00000000" w14:paraId="00000008">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“Conseguir este importante reconocimiento en reputación nos impulsa a seguir elevando el estándar en innovación, servicio y experiencias significativas para las personas. Este reconocimiento de IPSOS nos anima a redoblar el trabajo con nuestros clientes, colaboradores y comunidades,” señaló </w:t>
      </w:r>
      <w:r w:rsidDel="00000000" w:rsidR="00000000" w:rsidRPr="00000000">
        <w:rPr>
          <w:rFonts w:ascii="Arial" w:cs="Arial" w:eastAsia="Arial" w:hAnsi="Arial"/>
          <w:b w:val="1"/>
          <w:bCs w:val="1"/>
          <w:rtl w:val="0"/>
        </w:rPr>
        <w:t xml:space="preserve">Ariane Mendel, Gerenta Marketing Consumer Electronics en Samsung Chile</w:t>
      </w:r>
      <w:r w:rsidDel="00000000" w:rsidR="00000000" w:rsidRPr="00000000">
        <w:rPr>
          <w:rFonts w:ascii="Arial" w:cs="Arial" w:eastAsia="Arial" w:hAnsi="Arial"/>
          <w:rtl w:val="0"/>
        </w:rPr>
        <w:t xml:space="preserve">.</w:t>
      </w:r>
    </w:p>
    <w:p w:rsidR="00000000" w:rsidDel="00000000" w:rsidP="00000000" w:rsidRDefault="00000000" w:rsidRPr="00000000" w14:paraId="00000009">
      <w:pPr>
        <w:pStyle w:val="Heading2"/>
        <w:keepNext w:val="0"/>
        <w:keepLines w:val="0"/>
        <w:spacing w:before="360" w:lineRule="auto"/>
        <w:jc w:val="both"/>
        <w:rPr>
          <w:rFonts w:ascii="Arial" w:cs="Arial" w:eastAsia="Arial" w:hAnsi="Arial"/>
          <w:b w:val="1"/>
          <w:bCs w:val="1"/>
          <w:color w:val="000000"/>
          <w:sz w:val="22"/>
          <w:szCs w:val="22"/>
        </w:rPr>
      </w:pPr>
      <w:bookmarkStart w:colFirst="0" w:colLast="0" w:name="_heading=h.9o4stuyc69sa" w:id="3"/>
      <w:bookmarkEnd w:id="3"/>
      <w:r w:rsidDel="00000000" w:rsidR="00000000" w:rsidRPr="00000000">
        <w:rPr>
          <w:rFonts w:ascii="Arial" w:cs="Arial" w:eastAsia="Arial" w:hAnsi="Arial"/>
          <w:b w:val="1"/>
          <w:bCs w:val="1"/>
          <w:color w:val="000000"/>
          <w:sz w:val="22"/>
          <w:szCs w:val="22"/>
          <w:rtl w:val="0"/>
        </w:rPr>
        <w:t xml:space="preserve">Metodología y alcance del ERC</w:t>
      </w:r>
    </w:p>
    <w:p w:rsidR="00000000" w:rsidDel="00000000" w:rsidP="00000000" w:rsidRDefault="00000000" w:rsidRPr="00000000" w14:paraId="0000000A">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IPSOS desarrolla el ERC hace </w:t>
      </w:r>
      <w:r w:rsidDel="00000000" w:rsidR="00000000" w:rsidRPr="00000000">
        <w:rPr>
          <w:rFonts w:ascii="Arial" w:cs="Arial" w:eastAsia="Arial" w:hAnsi="Arial"/>
          <w:b w:val="1"/>
          <w:bCs w:val="1"/>
          <w:rtl w:val="0"/>
        </w:rPr>
        <w:t xml:space="preserve">24 años</w:t>
      </w:r>
      <w:r w:rsidDel="00000000" w:rsidR="00000000" w:rsidRPr="00000000">
        <w:rPr>
          <w:rFonts w:ascii="Arial" w:cs="Arial" w:eastAsia="Arial" w:hAnsi="Arial"/>
          <w:rtl w:val="0"/>
        </w:rPr>
        <w:t xml:space="preserve"> en Chile, con un </w:t>
      </w:r>
      <w:r w:rsidDel="00000000" w:rsidR="00000000" w:rsidRPr="00000000">
        <w:rPr>
          <w:rFonts w:ascii="Arial" w:cs="Arial" w:eastAsia="Arial" w:hAnsi="Arial"/>
          <w:b w:val="1"/>
          <w:bCs w:val="1"/>
          <w:rtl w:val="0"/>
        </w:rPr>
        <w:t xml:space="preserve">modelo histórico</w:t>
      </w:r>
      <w:r w:rsidDel="00000000" w:rsidR="00000000" w:rsidRPr="00000000">
        <w:rPr>
          <w:rFonts w:ascii="Arial" w:cs="Arial" w:eastAsia="Arial" w:hAnsi="Arial"/>
          <w:rtl w:val="0"/>
        </w:rPr>
        <w:t xml:space="preserve"> que integra </w:t>
      </w:r>
      <w:r w:rsidDel="00000000" w:rsidR="00000000" w:rsidRPr="00000000">
        <w:rPr>
          <w:rFonts w:ascii="Arial" w:cs="Arial" w:eastAsia="Arial" w:hAnsi="Arial"/>
          <w:b w:val="1"/>
          <w:bCs w:val="1"/>
          <w:rtl w:val="0"/>
        </w:rPr>
        <w:t xml:space="preserve">6 dimensiones</w:t>
      </w:r>
      <w:r w:rsidDel="00000000" w:rsidR="00000000" w:rsidRPr="00000000">
        <w:rPr>
          <w:rFonts w:ascii="Arial" w:cs="Arial" w:eastAsia="Arial" w:hAnsi="Arial"/>
          <w:rtl w:val="0"/>
        </w:rPr>
        <w:t xml:space="preserve"> y </w:t>
      </w:r>
      <w:r w:rsidDel="00000000" w:rsidR="00000000" w:rsidRPr="00000000">
        <w:rPr>
          <w:rFonts w:ascii="Arial" w:cs="Arial" w:eastAsia="Arial" w:hAnsi="Arial"/>
          <w:b w:val="1"/>
          <w:bCs w:val="1"/>
          <w:rtl w:val="0"/>
        </w:rPr>
        <w:t xml:space="preserve">18 atributos</w:t>
      </w:r>
      <w:r w:rsidDel="00000000" w:rsidR="00000000" w:rsidRPr="00000000">
        <w:rPr>
          <w:rFonts w:ascii="Arial" w:cs="Arial" w:eastAsia="Arial" w:hAnsi="Arial"/>
          <w:rtl w:val="0"/>
        </w:rPr>
        <w:t xml:space="preserve"> para calcular el </w:t>
      </w:r>
      <w:r w:rsidDel="00000000" w:rsidR="00000000" w:rsidRPr="00000000">
        <w:rPr>
          <w:rFonts w:ascii="Arial" w:cs="Arial" w:eastAsia="Arial" w:hAnsi="Arial"/>
          <w:b w:val="1"/>
          <w:bCs w:val="1"/>
          <w:rtl w:val="0"/>
        </w:rPr>
        <w:t xml:space="preserve">Índice de Reputación Corporativa</w:t>
      </w:r>
      <w:r w:rsidDel="00000000" w:rsidR="00000000" w:rsidRPr="00000000">
        <w:rPr>
          <w:rFonts w:ascii="Arial" w:cs="Arial" w:eastAsia="Arial" w:hAnsi="Arial"/>
          <w:rtl w:val="0"/>
        </w:rPr>
        <w:t xml:space="preserve">. </w:t>
      </w:r>
    </w:p>
    <w:p w:rsidR="00000000" w:rsidDel="00000000" w:rsidP="00000000" w:rsidRDefault="00000000" w:rsidRPr="00000000" w14:paraId="0000000B">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Así, proporciona resultados accionables para la gestión reputacional: determina el estado de la marca, identifica fortalezas y brechas, y orienta decisiones con impacto. </w:t>
      </w:r>
    </w:p>
    <w:p w:rsidR="00000000" w:rsidDel="00000000" w:rsidP="00000000" w:rsidRDefault="00000000" w:rsidRPr="00000000" w14:paraId="0000000C">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La edición 2025 evaluó a </w:t>
      </w:r>
      <w:r w:rsidDel="00000000" w:rsidR="00000000" w:rsidRPr="00000000">
        <w:rPr>
          <w:rFonts w:ascii="Arial" w:cs="Arial" w:eastAsia="Arial" w:hAnsi="Arial"/>
          <w:b w:val="1"/>
          <w:bCs w:val="1"/>
          <w:rtl w:val="0"/>
        </w:rPr>
        <w:t xml:space="preserve">100 empresas</w:t>
      </w:r>
      <w:r w:rsidDel="00000000" w:rsidR="00000000" w:rsidRPr="00000000">
        <w:rPr>
          <w:rFonts w:ascii="Arial" w:cs="Arial" w:eastAsia="Arial" w:hAnsi="Arial"/>
          <w:rtl w:val="0"/>
        </w:rPr>
        <w:t xml:space="preserve">, a traves de mas de </w:t>
      </w:r>
      <w:r w:rsidDel="00000000" w:rsidR="00000000" w:rsidRPr="00000000">
        <w:rPr>
          <w:rFonts w:ascii="Arial" w:cs="Arial" w:eastAsia="Arial" w:hAnsi="Arial"/>
          <w:b w:val="1"/>
          <w:bCs w:val="1"/>
          <w:rtl w:val="0"/>
        </w:rPr>
        <w:t xml:space="preserve">5.000 encuestas</w:t>
      </w:r>
      <w:r w:rsidDel="00000000" w:rsidR="00000000" w:rsidRPr="00000000">
        <w:rPr>
          <w:rFonts w:ascii="Arial" w:cs="Arial" w:eastAsia="Arial" w:hAnsi="Arial"/>
          <w:rtl w:val="0"/>
        </w:rPr>
        <w:t xml:space="preserve"> presenciales y online, considerando balance de género, cobertura de </w:t>
      </w:r>
      <w:r w:rsidDel="00000000" w:rsidR="00000000" w:rsidRPr="00000000">
        <w:rPr>
          <w:rFonts w:ascii="Arial" w:cs="Arial" w:eastAsia="Arial" w:hAnsi="Arial"/>
          <w:b w:val="1"/>
          <w:bCs w:val="1"/>
          <w:rtl w:val="0"/>
        </w:rPr>
        <w:t xml:space="preserve">Regiones y RM</w:t>
      </w:r>
      <w:r w:rsidDel="00000000" w:rsidR="00000000" w:rsidRPr="00000000">
        <w:rPr>
          <w:rFonts w:ascii="Arial" w:cs="Arial" w:eastAsia="Arial" w:hAnsi="Arial"/>
          <w:rtl w:val="0"/>
        </w:rPr>
        <w:t xml:space="preserve">, y rangos etarios de </w:t>
      </w:r>
      <w:r w:rsidDel="00000000" w:rsidR="00000000" w:rsidRPr="00000000">
        <w:rPr>
          <w:rFonts w:ascii="Arial" w:cs="Arial" w:eastAsia="Arial" w:hAnsi="Arial"/>
          <w:b w:val="1"/>
          <w:bCs w:val="1"/>
          <w:rtl w:val="0"/>
        </w:rPr>
        <w:t xml:space="preserve">18 a 75 años</w:t>
      </w:r>
      <w:r w:rsidDel="00000000" w:rsidR="00000000" w:rsidRPr="00000000">
        <w:rPr>
          <w:rFonts w:ascii="Arial" w:cs="Arial" w:eastAsia="Arial" w:hAnsi="Arial"/>
          <w:rtl w:val="0"/>
        </w:rPr>
        <w:t xml:space="preserve">. De este modo, el estudio permite comparar resultados por categoría y contra el benchmark nacional de </w:t>
      </w:r>
      <w:r w:rsidDel="00000000" w:rsidR="00000000" w:rsidRPr="00000000">
        <w:rPr>
          <w:rFonts w:ascii="Arial" w:cs="Arial" w:eastAsia="Arial" w:hAnsi="Arial"/>
          <w:b w:val="1"/>
          <w:bCs w:val="1"/>
          <w:rtl w:val="0"/>
        </w:rPr>
        <w:t xml:space="preserve">25 sectores</w:t>
      </w:r>
      <w:r w:rsidDel="00000000" w:rsidR="00000000" w:rsidRPr="00000000">
        <w:rPr>
          <w:rFonts w:ascii="Arial" w:cs="Arial" w:eastAsia="Arial" w:hAnsi="Arial"/>
          <w:rtl w:val="0"/>
        </w:rPr>
        <w:t xml:space="preserve">. </w:t>
      </w:r>
    </w:p>
    <w:p w:rsidR="00000000" w:rsidDel="00000000" w:rsidP="00000000" w:rsidRDefault="00000000" w:rsidRPr="00000000" w14:paraId="0000000D">
      <w:pPr>
        <w:spacing w:after="240" w:before="240" w:lineRule="auto"/>
        <w:jc w:val="both"/>
        <w:rPr>
          <w:rFonts w:ascii="Arial" w:cs="Arial" w:eastAsia="Arial" w:hAnsi="Arial"/>
        </w:rPr>
      </w:pPr>
      <w:bookmarkStart w:colFirst="0" w:colLast="0" w:name="_heading=h.8mg3ab87uhsb" w:id="4"/>
      <w:bookmarkEnd w:id="4"/>
      <w:r w:rsidDel="00000000" w:rsidR="00000000" w:rsidRPr="00000000">
        <w:rPr>
          <w:rFonts w:ascii="Arial" w:cs="Arial" w:eastAsia="Arial" w:hAnsi="Arial"/>
          <w:rtl w:val="0"/>
        </w:rPr>
        <w:t xml:space="preserve">“Reputación es confianza en el tiempo. Nuestro foco es crear tecnología útil y responsable, y construir relaciones que demuestren coherencia entre lo que prometemos y lo que entregamos en el día a día,” agregó </w:t>
      </w:r>
      <w:r w:rsidDel="00000000" w:rsidR="00000000" w:rsidRPr="00000000">
        <w:rPr>
          <w:rFonts w:ascii="Arial" w:cs="Arial" w:eastAsia="Arial" w:hAnsi="Arial"/>
          <w:b w:val="1"/>
          <w:bCs w:val="1"/>
          <w:rtl w:val="0"/>
        </w:rPr>
        <w:t xml:space="preserve">Ariane Mendel.</w:t>
      </w:r>
      <w:r w:rsidDel="00000000" w:rsidR="00000000" w:rsidRPr="00000000">
        <w:rPr>
          <w:rtl w:val="0"/>
        </w:rPr>
      </w:r>
    </w:p>
    <w:p w:rsidR="00000000" w:rsidDel="00000000" w:rsidP="00000000" w:rsidRDefault="00000000" w:rsidRPr="00000000" w14:paraId="0000000E">
      <w:pPr>
        <w:spacing w:after="240" w:before="240" w:lineRule="auto"/>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00F">
      <w:pPr>
        <w:spacing w:after="240" w:before="240" w:lineRule="auto"/>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010">
      <w:pPr>
        <w:jc w:val="both"/>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Acerca de Samsung Electronics Co., Ltd.</w:t>
      </w:r>
    </w:p>
    <w:p w:rsidR="00000000" w:rsidDel="00000000" w:rsidP="00000000" w:rsidRDefault="00000000" w:rsidRPr="00000000" w14:paraId="00000011">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Samsung inspira al mundo y da forma al futuro con ideas y tecnologías transformadoras. La empresa está redefiniendo los mundos de los televisores, de la señalización digital, de los smartphones, de los wearables, tabletas, electrodomésticos, así como de los sistemas de red, la memoria, el LSI de sistemas y la fundición. Samsung también está avanzando en tecnologías de imagen médica, soluciones de climatización y robótica, al tiempo que crea productos innovadores para automoción y audio a través de Harman. Con su ecosistema SmartThings, la colaboración abierta con sus socios y la integración de la inteligencia artificial en toda su cartera, Samsung ofrece una experiencia conectada inteligente y sin fisuras. Para conocer las últimas noticias, visita la sala de prensa de Samsung en </w:t>
      </w:r>
      <w:hyperlink r:id="rId8">
        <w:r w:rsidDel="00000000" w:rsidR="00000000" w:rsidRPr="00000000">
          <w:rPr>
            <w:rFonts w:ascii="Arial" w:cs="Arial" w:eastAsia="Arial" w:hAnsi="Arial"/>
            <w:color w:val="467886"/>
            <w:sz w:val="20"/>
            <w:szCs w:val="20"/>
            <w:u w:val="single"/>
            <w:rtl w:val="0"/>
          </w:rPr>
          <w:t xml:space="preserve">news.samsung.com</w:t>
        </w:r>
      </w:hyperlink>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12">
      <w:pPr>
        <w:spacing w:after="240" w:befor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3">
      <w:pPr>
        <w:shd w:fill="ffffff" w:val="clear"/>
        <w:spacing w:after="0" w:line="240" w:lineRule="auto"/>
        <w:jc w:val="both"/>
        <w:rPr>
          <w:rFonts w:ascii="Arial" w:cs="Arial" w:eastAsia="Arial" w:hAnsi="Arial"/>
          <w:color w:val="1155cc"/>
          <w:sz w:val="18"/>
          <w:szCs w:val="18"/>
        </w:rPr>
      </w:pPr>
      <w:r w:rsidDel="00000000" w:rsidR="00000000" w:rsidRPr="00000000">
        <w:rPr>
          <w:rFonts w:ascii="Arial" w:cs="Arial" w:eastAsia="Arial" w:hAnsi="Arial"/>
          <w:b w:val="1"/>
          <w:bCs w:val="1"/>
          <w:sz w:val="18"/>
          <w:szCs w:val="18"/>
          <w:u w:val="single"/>
          <w:rtl w:val="0"/>
        </w:rPr>
        <w:t xml:space="preserve">Contacto de prensa:</w:t>
      </w:r>
      <w:r w:rsidDel="00000000" w:rsidR="00000000" w:rsidRPr="00000000">
        <w:rPr>
          <w:rFonts w:ascii="Arial" w:cs="Arial" w:eastAsia="Arial" w:hAnsi="Arial"/>
          <w:b w:val="1"/>
          <w:bCs w:val="1"/>
          <w:sz w:val="18"/>
          <w:szCs w:val="18"/>
          <w:rtl w:val="0"/>
        </w:rPr>
        <w:br w:type="textWrapping"/>
        <w:t xml:space="preserve">Ejecutivo de cuentas:</w:t>
      </w:r>
      <w:r w:rsidDel="00000000" w:rsidR="00000000" w:rsidRPr="00000000">
        <w:rPr>
          <w:rFonts w:ascii="Arial" w:cs="Arial" w:eastAsia="Arial" w:hAnsi="Arial"/>
          <w:sz w:val="18"/>
          <w:szCs w:val="18"/>
          <w:rtl w:val="0"/>
        </w:rPr>
        <w:t xml:space="preserve"> Francisco Núñez | +56 9 72110131 </w:t>
      </w:r>
      <w:r w:rsidDel="00000000" w:rsidR="00000000" w:rsidRPr="00000000">
        <w:rPr>
          <w:rFonts w:ascii="Arial" w:cs="Arial" w:eastAsia="Arial" w:hAnsi="Arial"/>
          <w:color w:val="1155cc"/>
          <w:sz w:val="18"/>
          <w:szCs w:val="18"/>
          <w:rtl w:val="0"/>
        </w:rPr>
        <w:t xml:space="preserve">| </w:t>
      </w:r>
      <w:hyperlink r:id="rId9">
        <w:r w:rsidDel="00000000" w:rsidR="00000000" w:rsidRPr="00000000">
          <w:rPr>
            <w:rFonts w:ascii="Arial" w:cs="Arial" w:eastAsia="Arial" w:hAnsi="Arial"/>
            <w:color w:val="1155cc"/>
            <w:sz w:val="18"/>
            <w:szCs w:val="18"/>
            <w:u w:val="single"/>
            <w:rtl w:val="0"/>
          </w:rPr>
          <w:t xml:space="preserve">fnunez@urbangrupo.com</w:t>
        </w:r>
      </w:hyperlink>
      <w:r w:rsidDel="00000000" w:rsidR="00000000" w:rsidRPr="00000000">
        <w:rPr>
          <w:rFonts w:ascii="Arial" w:cs="Arial" w:eastAsia="Arial" w:hAnsi="Arial"/>
          <w:color w:val="1155cc"/>
          <w:sz w:val="18"/>
          <w:szCs w:val="18"/>
          <w:rtl w:val="0"/>
        </w:rPr>
        <w:t xml:space="preserve"> </w:t>
      </w:r>
    </w:p>
    <w:p w:rsidR="00000000" w:rsidDel="00000000" w:rsidP="00000000" w:rsidRDefault="00000000" w:rsidRPr="00000000" w14:paraId="00000014">
      <w:pPr>
        <w:shd w:fill="ffffff" w:val="clear"/>
        <w:spacing w:after="0" w:line="240" w:lineRule="auto"/>
        <w:jc w:val="both"/>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Ejecutiva de cuentas:</w:t>
      </w:r>
      <w:r w:rsidDel="00000000" w:rsidR="00000000" w:rsidRPr="00000000">
        <w:rPr>
          <w:rFonts w:ascii="Arial" w:cs="Arial" w:eastAsia="Arial" w:hAnsi="Arial"/>
          <w:sz w:val="18"/>
          <w:szCs w:val="18"/>
          <w:rtl w:val="0"/>
        </w:rPr>
        <w:t xml:space="preserve"> Monse Valenzuela | +569 9770 2251 | </w:t>
      </w:r>
      <w:hyperlink r:id="rId10">
        <w:r w:rsidDel="00000000" w:rsidR="00000000" w:rsidRPr="00000000">
          <w:rPr>
            <w:rFonts w:ascii="Arial" w:cs="Arial" w:eastAsia="Arial" w:hAnsi="Arial"/>
            <w:color w:val="1155cc"/>
            <w:sz w:val="18"/>
            <w:szCs w:val="18"/>
            <w:u w:val="single"/>
            <w:rtl w:val="0"/>
          </w:rPr>
          <w:t xml:space="preserve">mvalenzuela@urbangrupo.com</w:t>
        </w:r>
      </w:hyperlink>
      <w:r w:rsidDel="00000000" w:rsidR="00000000" w:rsidRPr="00000000">
        <w:rPr>
          <w:rFonts w:ascii="Arial" w:cs="Arial" w:eastAsia="Arial" w:hAnsi="Arial"/>
          <w:sz w:val="18"/>
          <w:szCs w:val="18"/>
          <w:rtl w:val="0"/>
        </w:rPr>
        <w:t xml:space="preserve"> </w:t>
      </w:r>
    </w:p>
    <w:p w:rsidR="00000000" w:rsidDel="00000000" w:rsidP="00000000" w:rsidRDefault="00000000" w:rsidRPr="00000000" w14:paraId="00000015">
      <w:pPr>
        <w:shd w:fill="ffffff" w:val="clear"/>
        <w:spacing w:after="0" w:line="240" w:lineRule="auto"/>
        <w:jc w:val="both"/>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Coordinador de cuentas</w:t>
      </w:r>
      <w:r w:rsidDel="00000000" w:rsidR="00000000" w:rsidRPr="00000000">
        <w:rPr>
          <w:rFonts w:ascii="Arial" w:cs="Arial" w:eastAsia="Arial" w:hAnsi="Arial"/>
          <w:sz w:val="18"/>
          <w:szCs w:val="18"/>
          <w:rtl w:val="0"/>
        </w:rPr>
        <w:t xml:space="preserve">: Sebastián Martínez | +56 9 9343 9513 | </w:t>
      </w:r>
      <w:hyperlink r:id="rId11">
        <w:r w:rsidDel="00000000" w:rsidR="00000000" w:rsidRPr="00000000">
          <w:rPr>
            <w:rFonts w:ascii="Arial" w:cs="Arial" w:eastAsia="Arial" w:hAnsi="Arial"/>
            <w:color w:val="1155cc"/>
            <w:sz w:val="18"/>
            <w:szCs w:val="18"/>
            <w:u w:val="single"/>
            <w:rtl w:val="0"/>
          </w:rPr>
          <w:t xml:space="preserve">smartinez@urbangrupo.com</w:t>
        </w:r>
      </w:hyperlink>
      <w:r w:rsidDel="00000000" w:rsidR="00000000" w:rsidRPr="00000000">
        <w:rPr>
          <w:rFonts w:ascii="Arial" w:cs="Arial" w:eastAsia="Arial" w:hAnsi="Arial"/>
          <w:sz w:val="18"/>
          <w:szCs w:val="18"/>
          <w:rtl w:val="0"/>
        </w:rPr>
        <w:t xml:space="preserve"> </w:t>
      </w:r>
    </w:p>
    <w:p w:rsidR="00000000" w:rsidDel="00000000" w:rsidP="00000000" w:rsidRDefault="00000000" w:rsidRPr="00000000" w14:paraId="00000016">
      <w:pPr>
        <w:shd w:fill="ffffff" w:val="clear"/>
        <w:spacing w:after="0" w:line="240" w:lineRule="auto"/>
        <w:jc w:val="both"/>
        <w:rPr>
          <w:rFonts w:ascii="Arial" w:cs="Arial" w:eastAsia="Arial" w:hAnsi="Arial"/>
          <w:b w:val="1"/>
          <w:bCs w:val="1"/>
          <w:sz w:val="16"/>
          <w:szCs w:val="16"/>
        </w:rPr>
      </w:pPr>
      <w:r w:rsidDel="00000000" w:rsidR="00000000" w:rsidRPr="00000000">
        <w:rPr>
          <w:rFonts w:ascii="Arial" w:cs="Arial" w:eastAsia="Arial" w:hAnsi="Arial"/>
          <w:b w:val="1"/>
          <w:bCs w:val="1"/>
          <w:sz w:val="18"/>
          <w:szCs w:val="18"/>
          <w:rtl w:val="0"/>
        </w:rPr>
        <w:t xml:space="preserve">Coordinador de cuentas: </w:t>
      </w:r>
      <w:r w:rsidDel="00000000" w:rsidR="00000000" w:rsidRPr="00000000">
        <w:rPr>
          <w:rFonts w:ascii="Arial" w:cs="Arial" w:eastAsia="Arial" w:hAnsi="Arial"/>
          <w:sz w:val="18"/>
          <w:szCs w:val="18"/>
          <w:rtl w:val="0"/>
        </w:rPr>
        <w:t xml:space="preserve">Jonathan Valenzuela | +56 9 6169 9893 |</w:t>
      </w:r>
      <w:r w:rsidDel="00000000" w:rsidR="00000000" w:rsidRPr="00000000">
        <w:rPr>
          <w:rFonts w:ascii="Arial" w:cs="Arial" w:eastAsia="Arial" w:hAnsi="Arial"/>
          <w:b w:val="1"/>
          <w:bCs w:val="1"/>
          <w:sz w:val="18"/>
          <w:szCs w:val="18"/>
          <w:rtl w:val="0"/>
        </w:rPr>
        <w:t xml:space="preserve"> </w:t>
      </w:r>
      <w:hyperlink r:id="rId12">
        <w:r w:rsidDel="00000000" w:rsidR="00000000" w:rsidRPr="00000000">
          <w:rPr>
            <w:rFonts w:ascii="Arial" w:cs="Arial" w:eastAsia="Arial" w:hAnsi="Arial"/>
            <w:color w:val="1155cc"/>
            <w:sz w:val="18"/>
            <w:szCs w:val="18"/>
            <w:u w:val="single"/>
            <w:rtl w:val="0"/>
          </w:rPr>
          <w:t xml:space="preserve">jvalenzuela@urbangrupo.com</w:t>
        </w:r>
      </w:hyperlink>
      <w:r w:rsidDel="00000000" w:rsidR="00000000" w:rsidRPr="00000000">
        <w:rPr>
          <w:rtl w:val="0"/>
        </w:rPr>
      </w:r>
    </w:p>
    <w:p w:rsidR="00000000" w:rsidDel="00000000" w:rsidP="00000000" w:rsidRDefault="00000000" w:rsidRPr="00000000" w14:paraId="00000017">
      <w:pPr>
        <w:shd w:fill="ffffff" w:val="clear"/>
        <w:spacing w:after="0" w:line="240" w:lineRule="auto"/>
        <w:jc w:val="both"/>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Directora:</w:t>
      </w:r>
      <w:r w:rsidDel="00000000" w:rsidR="00000000" w:rsidRPr="00000000">
        <w:rPr>
          <w:rFonts w:ascii="Arial" w:cs="Arial" w:eastAsia="Arial" w:hAnsi="Arial"/>
          <w:sz w:val="18"/>
          <w:szCs w:val="18"/>
          <w:rtl w:val="0"/>
        </w:rPr>
        <w:t xml:space="preserve"> María José Puhlmann | +56 9 4434 6814 | </w:t>
      </w:r>
      <w:hyperlink r:id="rId13">
        <w:r w:rsidDel="00000000" w:rsidR="00000000" w:rsidRPr="00000000">
          <w:rPr>
            <w:rFonts w:ascii="Arial" w:cs="Arial" w:eastAsia="Arial" w:hAnsi="Arial"/>
            <w:color w:val="1155cc"/>
            <w:sz w:val="18"/>
            <w:szCs w:val="18"/>
            <w:u w:val="single"/>
            <w:rtl w:val="0"/>
          </w:rPr>
          <w:t xml:space="preserve">mpuhlmann@urbangrupo.com</w:t>
        </w:r>
      </w:hyperlink>
      <w:r w:rsidDel="00000000" w:rsidR="00000000" w:rsidRPr="00000000">
        <w:rPr>
          <w:rtl w:val="0"/>
        </w:rPr>
      </w:r>
    </w:p>
    <w:p w:rsidR="00000000" w:rsidDel="00000000" w:rsidP="00000000" w:rsidRDefault="00000000" w:rsidRPr="00000000" w14:paraId="00000018">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19">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A">
      <w:pPr>
        <w:jc w:val="both"/>
        <w:rPr>
          <w:rFonts w:ascii="Arial" w:cs="Arial" w:eastAsia="Arial" w:hAnsi="Arial"/>
          <w:sz w:val="20"/>
          <w:szCs w:val="20"/>
        </w:rPr>
      </w:pPr>
      <w:r w:rsidDel="00000000" w:rsidR="00000000" w:rsidRPr="00000000">
        <w:rPr>
          <w:rtl w:val="0"/>
        </w:rPr>
      </w:r>
    </w:p>
    <w:sectPr>
      <w:footerReference r:id="rId14" w:type="default"/>
      <w:footerReference r:id="rId15" w:type="first"/>
      <w:footerReference r:id="rId16" w:type="even"/>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Aptos"/>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38417</wp:posOffset>
              </wp:positionH>
              <wp:positionV relativeFrom="paragraph">
                <wp:posOffset>-119019</wp:posOffset>
              </wp:positionV>
              <wp:extent cx="3162935" cy="595630"/>
              <wp:effectExtent b="0" l="0" r="0" t="0"/>
              <wp:wrapNone/>
              <wp:docPr descr="Confidential - Not for Public Consumption or Distribution" id="1313068360" name=""/>
              <a:graphic>
                <a:graphicData uri="http://schemas.microsoft.com/office/word/2010/wordprocessingShape">
                  <wps:wsp>
                    <wps:cNvSpPr/>
                    <wps:cNvPr id="3" name="Shape 3"/>
                    <wps:spPr>
                      <a:xfrm>
                        <a:off x="3883595" y="3601248"/>
                        <a:ext cx="2924810" cy="357505"/>
                      </a:xfrm>
                      <a:prstGeom prst="rect">
                        <a:avLst/>
                      </a:prstGeom>
                      <a:noFill/>
                      <a:ln>
                        <a:noFill/>
                      </a:ln>
                    </wps:spPr>
                    <wps:txbx>
                      <w:txbxContent>
                        <w:p w:rsidR="00000000" w:rsidDel="00000000" w:rsidP="00000000" w:rsidRDefault="00000000" w:rsidRPr="00000000">
                          <w:pPr>
                            <w:spacing w:after="0" w:before="0" w:line="258.0000114440918"/>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Confidential - Not for Public Consumption or Distribution</w:t>
                          </w:r>
                        </w:p>
                      </w:txbxContent>
                    </wps:txbx>
                    <wps:bodyPr anchorCtr="0" anchor="b" bIns="19050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38417</wp:posOffset>
              </wp:positionH>
              <wp:positionV relativeFrom="paragraph">
                <wp:posOffset>-119019</wp:posOffset>
              </wp:positionV>
              <wp:extent cx="3162935" cy="595630"/>
              <wp:effectExtent b="0" l="0" r="0" t="0"/>
              <wp:wrapNone/>
              <wp:docPr descr="Confidential - Not for Public Consumption or Distribution" id="1313068360" name="image3.png"/>
              <a:graphic>
                <a:graphicData uri="http://schemas.openxmlformats.org/drawingml/2006/picture">
                  <pic:pic>
                    <pic:nvPicPr>
                      <pic:cNvPr descr="Confidential - Not for Public Consumption or Distribution" id="0" name="image3.png"/>
                      <pic:cNvPicPr preferRelativeResize="0"/>
                    </pic:nvPicPr>
                    <pic:blipFill>
                      <a:blip r:embed="rId1"/>
                      <a:srcRect/>
                      <a:stretch>
                        <a:fillRect/>
                      </a:stretch>
                    </pic:blipFill>
                    <pic:spPr>
                      <a:xfrm>
                        <a:off x="0" y="0"/>
                        <a:ext cx="3162935" cy="595630"/>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38417</wp:posOffset>
              </wp:positionH>
              <wp:positionV relativeFrom="paragraph">
                <wp:posOffset>-119019</wp:posOffset>
              </wp:positionV>
              <wp:extent cx="3162935" cy="595630"/>
              <wp:effectExtent b="0" l="0" r="0" t="0"/>
              <wp:wrapNone/>
              <wp:docPr descr="Confidential - Not for Public Consumption or Distribution" id="1313068359" name=""/>
              <a:graphic>
                <a:graphicData uri="http://schemas.microsoft.com/office/word/2010/wordprocessingShape">
                  <wps:wsp>
                    <wps:cNvSpPr/>
                    <wps:cNvPr id="2" name="Shape 2"/>
                    <wps:spPr>
                      <a:xfrm>
                        <a:off x="3883595" y="3601248"/>
                        <a:ext cx="2924810" cy="357505"/>
                      </a:xfrm>
                      <a:prstGeom prst="rect">
                        <a:avLst/>
                      </a:prstGeom>
                      <a:noFill/>
                      <a:ln>
                        <a:noFill/>
                      </a:ln>
                    </wps:spPr>
                    <wps:txbx>
                      <w:txbxContent>
                        <w:p w:rsidR="00000000" w:rsidDel="00000000" w:rsidP="00000000" w:rsidRDefault="00000000" w:rsidRPr="00000000">
                          <w:pPr>
                            <w:spacing w:after="0" w:before="0" w:line="258.0000114440918"/>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Confidential - Not for Public Consumption or Distribution</w:t>
                          </w:r>
                        </w:p>
                      </w:txbxContent>
                    </wps:txbx>
                    <wps:bodyPr anchorCtr="0" anchor="b" bIns="19050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38417</wp:posOffset>
              </wp:positionH>
              <wp:positionV relativeFrom="paragraph">
                <wp:posOffset>-119019</wp:posOffset>
              </wp:positionV>
              <wp:extent cx="3162935" cy="595630"/>
              <wp:effectExtent b="0" l="0" r="0" t="0"/>
              <wp:wrapNone/>
              <wp:docPr descr="Confidential - Not for Public Consumption or Distribution" id="1313068359" name="image2.png"/>
              <a:graphic>
                <a:graphicData uri="http://schemas.openxmlformats.org/drawingml/2006/picture">
                  <pic:pic>
                    <pic:nvPicPr>
                      <pic:cNvPr descr="Confidential - Not for Public Consumption or Distribution" id="0" name="image2.png"/>
                      <pic:cNvPicPr preferRelativeResize="0"/>
                    </pic:nvPicPr>
                    <pic:blipFill>
                      <a:blip r:embed="rId1"/>
                      <a:srcRect/>
                      <a:stretch>
                        <a:fillRect/>
                      </a:stretch>
                    </pic:blipFill>
                    <pic:spPr>
                      <a:xfrm>
                        <a:off x="0" y="0"/>
                        <a:ext cx="3162935" cy="595630"/>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s-CL"/>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C81946"/>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C81946"/>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C81946"/>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TableNormal2" w:customStyle="1">
    <w:name w:val="TableNormal"/>
    <w:tblPr>
      <w:tblCellMar>
        <w:top w:w="100.0" w:type="dxa"/>
        <w:left w:w="100.0" w:type="dxa"/>
        <w:bottom w:w="100.0" w:type="dxa"/>
        <w:right w:w="100.0" w:type="dxa"/>
      </w:tblCellMar>
    </w:tblPr>
  </w:style>
  <w:style w:type="table" w:styleId="TableNormal3" w:customStyle="1">
    <w:name w:val="TableNormal"/>
    <w:tblPr>
      <w:tblCellMar>
        <w:top w:w="100.0" w:type="dxa"/>
        <w:left w:w="100.0" w:type="dxa"/>
        <w:bottom w:w="100.0" w:type="dxa"/>
        <w:right w:w="100.0" w:type="dxa"/>
      </w:tblCellMar>
    </w:tblPr>
  </w:style>
  <w:style w:type="table" w:styleId="TableNormal4" w:customStyle="1">
    <w:name w:val="TableNormal"/>
    <w:tblPr>
      <w:tblCellMar>
        <w:top w:w="100.0" w:type="dxa"/>
        <w:left w:w="100.0" w:type="dxa"/>
        <w:bottom w:w="100.0" w:type="dxa"/>
        <w:right w:w="100.0" w:type="dxa"/>
      </w:tblCellMar>
    </w:tblPr>
  </w:style>
  <w:style w:type="table" w:styleId="TableNormal5" w:customStyle="1">
    <w:name w:val="TableNormal"/>
    <w:tblPr>
      <w:tblCellMar>
        <w:top w:w="100.0" w:type="dxa"/>
        <w:left w:w="100.0" w:type="dxa"/>
        <w:bottom w:w="100.0" w:type="dxa"/>
        <w:right w:w="100.0" w:type="dxa"/>
      </w:tblCellMar>
    </w:tblPr>
  </w:style>
  <w:style w:type="table" w:styleId="TableNormal6" w:customStyle="1">
    <w:name w:val="TableNormal"/>
    <w:tblPr>
      <w:tblCellMar>
        <w:top w:w="100.0" w:type="dxa"/>
        <w:left w:w="100.0" w:type="dxa"/>
        <w:bottom w:w="100.0" w:type="dxa"/>
        <w:right w:w="100.0" w:type="dxa"/>
      </w:tblCellMar>
    </w:tblPr>
  </w:style>
  <w:style w:type="table" w:styleId="TableNormal7" w:customStyle="1">
    <w:name w:val="TableNormal"/>
    <w:tblPr>
      <w:tblCellMar>
        <w:top w:w="100.0" w:type="dxa"/>
        <w:left w:w="100.0" w:type="dxa"/>
        <w:bottom w:w="100.0" w:type="dxa"/>
        <w:right w:w="100.0" w:type="dxa"/>
      </w:tblCellMar>
    </w:tblPr>
  </w:style>
  <w:style w:type="table" w:styleId="TableNormal8" w:customStyle="1">
    <w:name w:val="TableNormal"/>
    <w:tblPr>
      <w:tblCellMar>
        <w:top w:w="100.0" w:type="dxa"/>
        <w:left w:w="100.0" w:type="dxa"/>
        <w:bottom w:w="100.0" w:type="dxa"/>
        <w:right w:w="100.0" w:type="dxa"/>
      </w:tblCellMar>
    </w:tblPr>
  </w:style>
  <w:style w:type="table" w:styleId="TableNormal9" w:customStyle="1">
    <w:name w:val="TableNormal"/>
    <w:tblPr>
      <w:tblCellMar>
        <w:top w:w="100.0" w:type="dxa"/>
        <w:left w:w="100.0" w:type="dxa"/>
        <w:bottom w:w="100.0" w:type="dxa"/>
        <w:right w:w="100.0" w:type="dxa"/>
      </w:tblCellMar>
    </w:tblPr>
  </w:style>
  <w:style w:type="table" w:styleId="TableNormala" w:customStyle="1">
    <w:name w:val="TableNormal"/>
    <w:tblPr>
      <w:tblCellMar>
        <w:top w:w="100.0" w:type="dxa"/>
        <w:left w:w="100.0" w:type="dxa"/>
        <w:bottom w:w="100.0" w:type="dxa"/>
        <w:right w:w="100.0" w:type="dxa"/>
      </w:tblCellMar>
    </w:tblPr>
  </w:style>
  <w:style w:type="table" w:styleId="TableNormalb" w:customStyle="1">
    <w:name w:val="TableNormal"/>
    <w:tblPr>
      <w:tblCellMar>
        <w:top w:w="100.0" w:type="dxa"/>
        <w:left w:w="100.0" w:type="dxa"/>
        <w:bottom w:w="100.0" w:type="dxa"/>
        <w:right w:w="100.0" w:type="dxa"/>
      </w:tblCellMar>
    </w:tblPr>
  </w:style>
  <w:style w:type="table" w:styleId="TableNormalc" w:customStyle="1">
    <w:name w:val="TableNormal"/>
    <w:tblPr>
      <w:tblCellMar>
        <w:top w:w="100.0" w:type="dxa"/>
        <w:left w:w="100.0" w:type="dxa"/>
        <w:bottom w:w="100.0" w:type="dxa"/>
        <w:right w:w="100.0" w:type="dxa"/>
      </w:tblCellMar>
    </w:tblPr>
  </w:style>
  <w:style w:type="table" w:styleId="TableNormald" w:customStyle="1">
    <w:name w:val="TableNormal"/>
    <w:tblPr>
      <w:tblCellMar>
        <w:top w:w="100.0" w:type="dxa"/>
        <w:left w:w="100.0" w:type="dxa"/>
        <w:bottom w:w="100.0" w:type="dxa"/>
        <w:right w:w="100.0" w:type="dxa"/>
      </w:tblCellMar>
    </w:tblPr>
  </w:style>
  <w:style w:type="table" w:styleId="TableNormale" w:customStyle="1">
    <w:name w:val="TableNormal"/>
    <w:tblPr>
      <w:tblCellMar>
        <w:top w:w="100.0" w:type="dxa"/>
        <w:left w:w="100.0" w:type="dxa"/>
        <w:bottom w:w="100.0" w:type="dxa"/>
        <w:right w:w="100.0" w:type="dxa"/>
      </w:tblCellMar>
    </w:tblPr>
  </w:style>
  <w:style w:type="table" w:styleId="TableNormalf" w:customStyle="1">
    <w:name w:val="TableNormal"/>
    <w:tblPr>
      <w:tblCellMar>
        <w:top w:w="100.0" w:type="dxa"/>
        <w:left w:w="100.0" w:type="dxa"/>
        <w:bottom w:w="100.0" w:type="dxa"/>
        <w:right w:w="100.0" w:type="dxa"/>
      </w:tblCellMar>
    </w:tblPr>
  </w:style>
  <w:style w:type="table" w:styleId="TableNormalf0" w:customStyle="1">
    <w:name w:val="TableNormal"/>
    <w:tblPr>
      <w:tblCellMar>
        <w:top w:w="100.0" w:type="dxa"/>
        <w:left w:w="100.0" w:type="dxa"/>
        <w:bottom w:w="100.0" w:type="dxa"/>
        <w:right w:w="100.0" w:type="dxa"/>
      </w:tblCellMar>
    </w:tblPr>
  </w:style>
  <w:style w:type="table" w:styleId="TableNormalf1" w:customStyle="1">
    <w:name w:val="TableNormal"/>
    <w:tblPr>
      <w:tblCellMar>
        <w:top w:w="100.0" w:type="dxa"/>
        <w:left w:w="100.0" w:type="dxa"/>
        <w:bottom w:w="100.0" w:type="dxa"/>
        <w:right w:w="100.0" w:type="dxa"/>
      </w:tblCellMar>
    </w:tblPr>
  </w:style>
  <w:style w:type="table" w:styleId="TableNormalf2" w:customStyle="1">
    <w:name w:val="TableNormal"/>
    <w:tblPr>
      <w:tblCellMar>
        <w:top w:w="100.0" w:type="dxa"/>
        <w:left w:w="100.0" w:type="dxa"/>
        <w:bottom w:w="100.0" w:type="dxa"/>
        <w:right w:w="100.0" w:type="dxa"/>
      </w:tblCellMar>
    </w:tblPr>
  </w:style>
  <w:style w:type="table" w:styleId="TableNormalf3" w:customStyle="1">
    <w:name w:val="TableNormal"/>
    <w:tblPr>
      <w:tblCellMar>
        <w:top w:w="100.0" w:type="dxa"/>
        <w:left w:w="100.0" w:type="dxa"/>
        <w:bottom w:w="100.0" w:type="dxa"/>
        <w:right w:w="100.0" w:type="dxa"/>
      </w:tblCellMar>
    </w:tblPr>
  </w:style>
  <w:style w:type="table" w:styleId="TableNormalf4" w:customStyle="1">
    <w:name w:val="TableNormal"/>
    <w:tblPr>
      <w:tblCellMar>
        <w:top w:w="100.0" w:type="dxa"/>
        <w:left w:w="100.0" w:type="dxa"/>
        <w:bottom w:w="100.0" w:type="dxa"/>
        <w:right w:w="100.0" w:type="dxa"/>
      </w:tblCellMar>
    </w:tblPr>
  </w:style>
  <w:style w:type="table" w:styleId="TableNormalf5" w:customStyle="1">
    <w:name w:val="TableNormal"/>
    <w:tblPr>
      <w:tblCellMar>
        <w:top w:w="100.0" w:type="dxa"/>
        <w:left w:w="100.0" w:type="dxa"/>
        <w:bottom w:w="100.0" w:type="dxa"/>
        <w:right w:w="100.0" w:type="dxa"/>
      </w:tblCellMar>
    </w:tblPr>
  </w:style>
  <w:style w:type="table" w:styleId="TableNormalf6" w:customStyle="1">
    <w:name w:val="TableNormal"/>
    <w:tblPr>
      <w:tblCellMar>
        <w:top w:w="100.0" w:type="dxa"/>
        <w:left w:w="100.0" w:type="dxa"/>
        <w:bottom w:w="100.0" w:type="dxa"/>
        <w:right w:w="100.0" w:type="dxa"/>
      </w:tblCellMar>
    </w:tblPr>
  </w:style>
  <w:style w:type="table" w:styleId="TableNormalf7" w:customStyle="1">
    <w:name w:val="TableNormal"/>
    <w:tblPr>
      <w:tblCellMar>
        <w:top w:w="100.0" w:type="dxa"/>
        <w:left w:w="100.0" w:type="dxa"/>
        <w:bottom w:w="100.0" w:type="dxa"/>
        <w:right w:w="100.0" w:type="dxa"/>
      </w:tblCellMar>
    </w:tblPr>
  </w:style>
  <w:style w:type="character" w:styleId="Heading1Char" w:customStyle="1">
    <w:name w:val="Heading 1 Char"/>
    <w:basedOn w:val="DefaultParagraphFont"/>
    <w:link w:val="Heading1"/>
    <w:uiPriority w:val="9"/>
    <w:rsid w:val="00C81946"/>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C81946"/>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C81946"/>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C81946"/>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C81946"/>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C81946"/>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C81946"/>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C81946"/>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C81946"/>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C81946"/>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C81946"/>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C81946"/>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C81946"/>
    <w:rPr>
      <w:i w:val="1"/>
      <w:iCs w:val="1"/>
      <w:color w:val="404040" w:themeColor="text1" w:themeTint="0000BF"/>
    </w:rPr>
  </w:style>
  <w:style w:type="paragraph" w:styleId="ListParagraph">
    <w:name w:val="List Paragraph"/>
    <w:basedOn w:val="Normal"/>
    <w:uiPriority w:val="34"/>
    <w:qFormat w:val="1"/>
    <w:rsid w:val="00C81946"/>
    <w:pPr>
      <w:ind w:left="720"/>
      <w:contextualSpacing w:val="1"/>
    </w:pPr>
  </w:style>
  <w:style w:type="character" w:styleId="IntenseEmphasis">
    <w:name w:val="Intense Emphasis"/>
    <w:basedOn w:val="DefaultParagraphFont"/>
    <w:uiPriority w:val="21"/>
    <w:qFormat w:val="1"/>
    <w:rsid w:val="00C81946"/>
    <w:rPr>
      <w:i w:val="1"/>
      <w:iCs w:val="1"/>
      <w:color w:val="0f4761" w:themeColor="accent1" w:themeShade="0000BF"/>
    </w:rPr>
  </w:style>
  <w:style w:type="paragraph" w:styleId="IntenseQuote">
    <w:name w:val="Intense Quote"/>
    <w:basedOn w:val="Normal"/>
    <w:next w:val="Normal"/>
    <w:link w:val="IntenseQuoteChar"/>
    <w:uiPriority w:val="30"/>
    <w:qFormat w:val="1"/>
    <w:rsid w:val="00C81946"/>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C81946"/>
    <w:rPr>
      <w:i w:val="1"/>
      <w:iCs w:val="1"/>
      <w:color w:val="0f4761" w:themeColor="accent1" w:themeShade="0000BF"/>
    </w:rPr>
  </w:style>
  <w:style w:type="character" w:styleId="IntenseReference">
    <w:name w:val="Intense Reference"/>
    <w:basedOn w:val="DefaultParagraphFont"/>
    <w:uiPriority w:val="32"/>
    <w:qFormat w:val="1"/>
    <w:rsid w:val="00C81946"/>
    <w:rPr>
      <w:b w:val="1"/>
      <w:bCs w:val="1"/>
      <w:smallCaps w:val="1"/>
      <w:color w:val="0f4761" w:themeColor="accent1" w:themeShade="0000BF"/>
      <w:spacing w:val="5"/>
    </w:rPr>
  </w:style>
  <w:style w:type="character" w:styleId="CommentReference">
    <w:name w:val="annotation reference"/>
    <w:basedOn w:val="DefaultParagraphFont"/>
    <w:uiPriority w:val="99"/>
    <w:semiHidden w:val="1"/>
    <w:unhideWhenUsed w:val="1"/>
    <w:rsid w:val="00C81946"/>
    <w:rPr>
      <w:sz w:val="16"/>
      <w:szCs w:val="16"/>
    </w:rPr>
  </w:style>
  <w:style w:type="paragraph" w:styleId="CommentText">
    <w:name w:val="annotation text"/>
    <w:basedOn w:val="Normal"/>
    <w:link w:val="CommentTextChar"/>
    <w:uiPriority w:val="99"/>
    <w:unhideWhenUsed w:val="1"/>
    <w:rsid w:val="00C81946"/>
    <w:pPr>
      <w:spacing w:line="240" w:lineRule="auto"/>
    </w:pPr>
    <w:rPr>
      <w:sz w:val="20"/>
      <w:szCs w:val="20"/>
    </w:rPr>
  </w:style>
  <w:style w:type="character" w:styleId="CommentTextChar" w:customStyle="1">
    <w:name w:val="Comment Text Char"/>
    <w:basedOn w:val="DefaultParagraphFont"/>
    <w:link w:val="CommentText"/>
    <w:uiPriority w:val="99"/>
    <w:rsid w:val="00C81946"/>
    <w:rPr>
      <w:sz w:val="20"/>
      <w:szCs w:val="20"/>
    </w:rPr>
  </w:style>
  <w:style w:type="character" w:styleId="Hyperlink">
    <w:name w:val="Hyperlink"/>
    <w:basedOn w:val="DefaultParagraphFont"/>
    <w:uiPriority w:val="99"/>
    <w:unhideWhenUsed w:val="1"/>
    <w:rsid w:val="00C81946"/>
    <w:rPr>
      <w:color w:val="467886" w:themeColor="hyperlink"/>
      <w:u w:val="single"/>
    </w:rPr>
  </w:style>
  <w:style w:type="character" w:styleId="UnresolvedMention1" w:customStyle="1">
    <w:name w:val="Unresolved Mention1"/>
    <w:basedOn w:val="DefaultParagraphFont"/>
    <w:uiPriority w:val="99"/>
    <w:semiHidden w:val="1"/>
    <w:unhideWhenUsed w:val="1"/>
    <w:rsid w:val="00C81946"/>
    <w:rPr>
      <w:color w:val="605e5c"/>
      <w:shd w:color="auto" w:fill="e1dfdd" w:val="clear"/>
    </w:rPr>
  </w:style>
  <w:style w:type="paragraph" w:styleId="Footer">
    <w:name w:val="footer"/>
    <w:basedOn w:val="Normal"/>
    <w:link w:val="FooterChar"/>
    <w:uiPriority w:val="99"/>
    <w:unhideWhenUsed w:val="1"/>
    <w:rsid w:val="00C81946"/>
    <w:pPr>
      <w:tabs>
        <w:tab w:val="center" w:pos="4252"/>
        <w:tab w:val="right" w:pos="8504"/>
      </w:tabs>
      <w:spacing w:after="0" w:line="240" w:lineRule="auto"/>
    </w:pPr>
  </w:style>
  <w:style w:type="character" w:styleId="FooterChar" w:customStyle="1">
    <w:name w:val="Footer Char"/>
    <w:basedOn w:val="DefaultParagraphFont"/>
    <w:link w:val="Footer"/>
    <w:uiPriority w:val="99"/>
    <w:rsid w:val="00C81946"/>
  </w:style>
  <w:style w:type="paragraph" w:styleId="CommentSubject">
    <w:name w:val="annotation subject"/>
    <w:basedOn w:val="CommentText"/>
    <w:next w:val="CommentText"/>
    <w:link w:val="CommentSubjectChar"/>
    <w:uiPriority w:val="99"/>
    <w:semiHidden w:val="1"/>
    <w:unhideWhenUsed w:val="1"/>
    <w:rsid w:val="0032239B"/>
    <w:rPr>
      <w:b w:val="1"/>
      <w:bCs w:val="1"/>
    </w:rPr>
  </w:style>
  <w:style w:type="character" w:styleId="CommentSubjectChar" w:customStyle="1">
    <w:name w:val="Comment Subject Char"/>
    <w:basedOn w:val="CommentTextChar"/>
    <w:link w:val="CommentSubject"/>
    <w:uiPriority w:val="99"/>
    <w:semiHidden w:val="1"/>
    <w:rsid w:val="0032239B"/>
    <w:rPr>
      <w:b w:val="1"/>
      <w:bCs w:val="1"/>
      <w:sz w:val="20"/>
      <w:szCs w:val="20"/>
    </w:rPr>
  </w:style>
  <w:style w:type="paragraph" w:styleId="BalloonText">
    <w:name w:val="Balloon Text"/>
    <w:basedOn w:val="Normal"/>
    <w:link w:val="BalloonTextChar"/>
    <w:uiPriority w:val="99"/>
    <w:semiHidden w:val="1"/>
    <w:unhideWhenUsed w:val="1"/>
    <w:rsid w:val="0032239B"/>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32239B"/>
    <w:rPr>
      <w:rFonts w:ascii="Segoe UI" w:cs="Segoe UI" w:hAnsi="Segoe UI"/>
      <w:sz w:val="18"/>
      <w:szCs w:val="18"/>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1" Type="http://schemas.openxmlformats.org/officeDocument/2006/relationships/hyperlink" Target="mailto:smartinez@urbangrupo.com" TargetMode="External"/><Relationship Id="rId10" Type="http://schemas.openxmlformats.org/officeDocument/2006/relationships/hyperlink" Target="mailto:mvalenzuela@urbangrupo.com" TargetMode="External"/><Relationship Id="rId13" Type="http://schemas.openxmlformats.org/officeDocument/2006/relationships/hyperlink" Target="mailto:mpuhlmann@urbangrupo.com" TargetMode="External"/><Relationship Id="rId12" Type="http://schemas.openxmlformats.org/officeDocument/2006/relationships/hyperlink" Target="mailto:jvalenzuela@urbangrupo.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fnunez@urbangrupo.com" TargetMode="External"/><Relationship Id="rId15" Type="http://schemas.openxmlformats.org/officeDocument/2006/relationships/footer" Target="footer3.xml"/><Relationship Id="rId14" Type="http://schemas.openxmlformats.org/officeDocument/2006/relationships/footer" Target="footer2.xm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news.samsung.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gqN1tpxvCvRwFjGtT9GdvVKPKw==">CgMxLjAyDmgubmlyd3lvOThkOTVmMg5oLmszZzVpYjM0MWc3YjIOaC5mNDR5NzhqeDUwcmsyDmguOW80c3R1eWM2OXNhMg5oLjhtZzNhYjg3dWhzYjgAciExb2UzRWNHTGFpV2pILTVua1JCdEREbGFwYVQyYVpxZnQ=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2025-09-23T21:12:00Z</dcterms:created>
  <dc:creator>Michelli Taborda (FleishmanHillard)</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1161e8fd,1f6204c1,4e43d4fe</vt:lpwstr>
  </property>
  <property fmtid="{D5CDD505-2E9C-101B-9397-08002B2CF9AE}" pid="3" name="ClassificationContentMarkingFooterFontProps">
    <vt:lpwstr>#000000,10,Calibri</vt:lpwstr>
  </property>
  <property fmtid="{D5CDD505-2E9C-101B-9397-08002B2CF9AE}" pid="4" name="ClassificationContentMarkingFooterText">
    <vt:lpwstr>Confidential - Not for Public Consumption or Distribution</vt:lpwstr>
  </property>
  <property fmtid="{D5CDD505-2E9C-101B-9397-08002B2CF9AE}" pid="5" name="MSIP_Label_8e19d756-792e-42a1-bcad-4cb9051ddd2d_Enabled">
    <vt:lpwstr>true</vt:lpwstr>
  </property>
  <property fmtid="{D5CDD505-2E9C-101B-9397-08002B2CF9AE}" pid="6" name="MSIP_Label_8e19d756-792e-42a1-bcad-4cb9051ddd2d_SetDate">
    <vt:lpwstr>2025-09-01T13:47:38Z</vt:lpwstr>
  </property>
  <property fmtid="{D5CDD505-2E9C-101B-9397-08002B2CF9AE}" pid="7" name="MSIP_Label_8e19d756-792e-42a1-bcad-4cb9051ddd2d_Method">
    <vt:lpwstr>Standard</vt:lpwstr>
  </property>
  <property fmtid="{D5CDD505-2E9C-101B-9397-08002B2CF9AE}" pid="8" name="MSIP_Label_8e19d756-792e-42a1-bcad-4cb9051ddd2d_Name">
    <vt:lpwstr>Confidential</vt:lpwstr>
  </property>
  <property fmtid="{D5CDD505-2E9C-101B-9397-08002B2CF9AE}" pid="9" name="MSIP_Label_8e19d756-792e-42a1-bcad-4cb9051ddd2d_SiteId">
    <vt:lpwstr>41eb501a-f671-4ce0-a5bf-b64168c3705f</vt:lpwstr>
  </property>
  <property fmtid="{D5CDD505-2E9C-101B-9397-08002B2CF9AE}" pid="10" name="MSIP_Label_8e19d756-792e-42a1-bcad-4cb9051ddd2d_ActionId">
    <vt:lpwstr>2f6900c4-7fb2-486d-99c1-b2bf4e31b432</vt:lpwstr>
  </property>
  <property fmtid="{D5CDD505-2E9C-101B-9397-08002B2CF9AE}" pid="11" name="MSIP_Label_8e19d756-792e-42a1-bcad-4cb9051ddd2d_ContentBits">
    <vt:lpwstr>2</vt:lpwstr>
  </property>
  <property fmtid="{D5CDD505-2E9C-101B-9397-08002B2CF9AE}" pid="12" name="MSIP_Label_8e19d756-792e-42a1-bcad-4cb9051ddd2d_Tag">
    <vt:lpwstr>10, 3, 0, 1</vt:lpwstr>
  </property>
</Properties>
</file>