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b w:val="1"/>
          <w:sz w:val="28"/>
          <w:szCs w:val="28"/>
        </w:rPr>
      </w:pPr>
      <w:bookmarkStart w:colFirst="0" w:colLast="0" w:name="_heading=h.h5cbfo6gu62d" w:id="0"/>
      <w:bookmarkEnd w:id="0"/>
      <w:r w:rsidDel="00000000" w:rsidR="00000000" w:rsidRPr="00000000">
        <w:rPr>
          <w:rFonts w:ascii="Arial" w:cs="Arial" w:eastAsia="Arial" w:hAnsi="Arial"/>
          <w:b w:val="1"/>
          <w:sz w:val="28"/>
          <w:szCs w:val="28"/>
          <w:rtl w:val="0"/>
        </w:rPr>
        <w:t xml:space="preserve">Descubre 5 innovaciones de Samsung que redefinen el futuro de la vida conectada</w:t>
      </w:r>
    </w:p>
    <w:p w:rsidR="00000000" w:rsidDel="00000000" w:rsidP="00000000" w:rsidRDefault="00000000" w:rsidRPr="00000000" w14:paraId="00000002">
      <w:pPr>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03">
      <w:pPr>
        <w:jc w:val="both"/>
        <w:rPr>
          <w:rFonts w:ascii="Arial" w:cs="Arial" w:eastAsia="Arial" w:hAnsi="Arial"/>
          <w:sz w:val="20"/>
          <w:szCs w:val="20"/>
        </w:rPr>
      </w:pPr>
      <w:bookmarkStart w:colFirst="0" w:colLast="0" w:name="_heading=h.maffgndj8sg9" w:id="1"/>
      <w:bookmarkEnd w:id="1"/>
      <w:r w:rsidDel="00000000" w:rsidR="00000000" w:rsidRPr="00000000">
        <w:rPr>
          <w:rFonts w:ascii="Arial" w:cs="Arial" w:eastAsia="Arial" w:hAnsi="Arial"/>
          <w:b w:val="1"/>
          <w:sz w:val="20"/>
          <w:szCs w:val="20"/>
          <w:rtl w:val="0"/>
        </w:rPr>
        <w:t xml:space="preserve">Santiago, de septiembre de 2025</w:t>
      </w:r>
      <w:r w:rsidDel="00000000" w:rsidR="00000000" w:rsidRPr="00000000">
        <w:rPr>
          <w:rFonts w:ascii="Arial" w:cs="Arial" w:eastAsia="Arial" w:hAnsi="Arial"/>
          <w:sz w:val="20"/>
          <w:szCs w:val="20"/>
          <w:rtl w:val="0"/>
        </w:rPr>
        <w:t xml:space="preserve"> – Samsung continúa a la vanguardia de la innovación tecnológica, integrando la Inteligencia Artificial (IA) en diversos aspectos de la vida cotidiana, desde dispositivos móviles hasta pantallas y electrodomésticos. Conectado a través de la plataforma SmartThings y optimizado por IA, el ecosistema busca simplificar tareas, liberar tiempo y promover el bienestar.</w:t>
      </w:r>
    </w:p>
    <w:p w:rsidR="00000000" w:rsidDel="00000000" w:rsidP="00000000" w:rsidRDefault="00000000" w:rsidRPr="00000000" w14:paraId="00000004">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continuación, presentamos 5 innovaciones mostradas por la compañía durante la IFA 2025, en Berlín, que redefinen su visión de futuro para hogares y vidas aún más sostenibles y conectadas mediante inteligencia artificial.</w:t>
      </w:r>
    </w:p>
    <w:p w:rsidR="00000000" w:rsidDel="00000000" w:rsidP="00000000" w:rsidRDefault="00000000" w:rsidRPr="00000000" w14:paraId="00000005">
      <w:pPr>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Cocina abierta: el nuevo estándar de Samsung</w:t>
      </w:r>
    </w:p>
    <w:p w:rsidR="00000000" w:rsidDel="00000000" w:rsidP="00000000" w:rsidRDefault="00000000" w:rsidRPr="00000000" w14:paraId="00000006">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Electrodomésticos empotrables, inspirados en el diseño de cafés modernos. La propuesta privilegia espacios amplios y minimalistas, en línea con las principales tendencias del continente.</w:t>
      </w:r>
    </w:p>
    <w:p w:rsidR="00000000" w:rsidDel="00000000" w:rsidP="00000000" w:rsidRDefault="00000000" w:rsidRPr="00000000" w14:paraId="00000007">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Entre los nuevos productos, exclusivos para el mercado europeo, se encuentra el Extractor Induction Hob, que combina inducción y extracción en una sola superficie, eliminando la necesidad de campanas extractoras suspendidas. Por su parte, el nuevo Bespoke AI Dishwasher llega a Europa con puerta automática y ciclo AI Wash, que selecciona automáticamente el programa ideal. Ambos productos estarán disponibles en el mercado europeo durante el primer semestre de 2026, fortaleciendo la presencia de Samsung en el segmento premium de cocinas empotrables.</w:t>
      </w:r>
    </w:p>
    <w:p w:rsidR="00000000" w:rsidDel="00000000" w:rsidP="00000000" w:rsidRDefault="00000000" w:rsidRPr="00000000" w14:paraId="00000008">
      <w:pPr>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Vision AI: la próxima revolución de las pantallas</w:t>
      </w:r>
    </w:p>
    <w:p w:rsidR="00000000" w:rsidDel="00000000" w:rsidP="00000000" w:rsidRDefault="00000000" w:rsidRPr="00000000" w14:paraId="00000009">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Samsung presentó Vision AI Companion, un conjunto de funciones de IA para TVs y monitores. Con fondos generativos, traducción en tiempo real, modo de juego optimizado e integración con Microsoft Copilot y Perplexity, la solución lleva el entretenimiento y la productividad a un nuevo nivel.</w:t>
      </w:r>
    </w:p>
    <w:p w:rsidR="00000000" w:rsidDel="00000000" w:rsidP="00000000" w:rsidRDefault="00000000" w:rsidRPr="00000000" w14:paraId="0000000A">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Una versión mejorada de Bixby hace que las interacciones sean más naturales, eliminando la necesidad de alternar entre aplicaciones. La plataforma se actualizará durante siete años a través de One UI Tizen y Samsung Knox. El lanzamiento comenzará a finales de septiembre en mercados como Corea, América del Norte y Europa.</w:t>
      </w:r>
    </w:p>
    <w:p w:rsidR="00000000" w:rsidDel="00000000" w:rsidP="00000000" w:rsidRDefault="00000000" w:rsidRPr="00000000" w14:paraId="0000000B">
      <w:pPr>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Bespoke AI: electrodomésticos inteligentes y personalizables</w:t>
      </w:r>
    </w:p>
    <w:p w:rsidR="00000000" w:rsidDel="00000000" w:rsidP="00000000" w:rsidRDefault="00000000" w:rsidRPr="00000000" w14:paraId="0000000C">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portafolio Bespoke AI combina diseño, tecnología e IA para ofrecer soluciones avanzadas al hogar moderno. Entre los destacados se encuentran el lavavajillas Bespoke AI, la lavadora Bespoke AI Washer, el Laundry Combo (2.ª generación), refrigeradores con AI Vision Inside para reconocimiento de alimentos, aspiradoras Jet Bot AI y el aire acondicionado WindFree™ AI, que aprende rutinas y ajusta automáticamente la temperatura. </w:t>
      </w:r>
    </w:p>
    <w:p w:rsidR="00000000" w:rsidDel="00000000" w:rsidP="00000000" w:rsidRDefault="00000000" w:rsidRPr="00000000" w14:paraId="0000000D">
      <w:pPr>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SoundTower y Micro RGB: conectividad e inmersión</w:t>
      </w:r>
    </w:p>
    <w:p w:rsidR="00000000" w:rsidDel="00000000" w:rsidP="00000000" w:rsidRDefault="00000000" w:rsidRPr="00000000" w14:paraId="0000000E">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SoundTower, torre de audio premium, llega con AI Sound, que ajusta graves, medios y agudos según el contenido y el ambiente, conectando música, películas y juegos a experiencias inmersivas. Por su parte, la línea Micro RGB ofrece pantallas microLED con colores más vibrantes, contraste extremo y optimización en tiempo real mediante Vision AI. </w:t>
      </w:r>
    </w:p>
    <w:p w:rsidR="00000000" w:rsidDel="00000000" w:rsidP="00000000" w:rsidRDefault="00000000" w:rsidRPr="00000000" w14:paraId="0000000F">
      <w:pPr>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Smart Modular Home: eficiencia e inspiración</w:t>
      </w:r>
    </w:p>
    <w:p w:rsidR="00000000" w:rsidDel="00000000" w:rsidP="00000000" w:rsidRDefault="00000000" w:rsidRPr="00000000" w14:paraId="00000010">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prototipo de hogar inteligente Smart Modular Home integra electrodomésticos con IA, sistemas de climatización eficientes y conectividad total vía SmartThings. La casa simplifica rutinas, ajusta luz y temperatura automáticamente e incluso crea ambientes inmersivos, como en el Game Mode.</w:t>
      </w:r>
    </w:p>
    <w:p w:rsidR="00000000" w:rsidDel="00000000" w:rsidP="00000000" w:rsidRDefault="00000000" w:rsidRPr="00000000" w14:paraId="00000011">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Desde hogares inteligentes que aprenden de sus habitantes hasta electrodomésticos y dispositivos que combinan diseño, IA y conectividad, la marca demuestra que la innovación no es solo funcionalidad: es experiencia. Cada innovación refuerza la idea de que la tecnología puede hacer la vida diaria más simple, eficiente e incluso divertida, transformando espacios y rutinas de forma natural y personalizada.</w:t>
      </w:r>
    </w:p>
    <w:p w:rsidR="00000000" w:rsidDel="00000000" w:rsidP="00000000" w:rsidRDefault="00000000" w:rsidRPr="00000000" w14:paraId="00000012">
      <w:pPr>
        <w:spacing w:after="240" w:before="240" w:line="240" w:lineRule="auto"/>
        <w:jc w:val="center"/>
        <w:rPr>
          <w:rFonts w:ascii="Arial" w:cs="Arial" w:eastAsia="Arial" w:hAnsi="Arial"/>
          <w:sz w:val="20"/>
          <w:szCs w:val="20"/>
          <w:highlight w:val="white"/>
        </w:rPr>
      </w:pPr>
      <w:r w:rsidDel="00000000" w:rsidR="00000000" w:rsidRPr="00000000">
        <w:rPr>
          <w:rFonts w:ascii="Arial" w:cs="Arial" w:eastAsia="Arial" w:hAnsi="Arial"/>
          <w:color w:val="000000"/>
          <w:sz w:val="20"/>
          <w:szCs w:val="20"/>
          <w:rtl w:val="0"/>
        </w:rPr>
        <w:t xml:space="preserve">###</w:t>
      </w:r>
      <w:r w:rsidDel="00000000" w:rsidR="00000000" w:rsidRPr="00000000">
        <w:rPr>
          <w:rtl w:val="0"/>
        </w:rPr>
      </w:r>
    </w:p>
    <w:p w:rsidR="00000000" w:rsidDel="00000000" w:rsidP="00000000" w:rsidRDefault="00000000" w:rsidRPr="00000000" w14:paraId="00000013">
      <w:pPr>
        <w:spacing w:after="240" w:before="240"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Acerca de Samsung Electronics Co., Ltd.</w:t>
      </w:r>
    </w:p>
    <w:p w:rsidR="00000000" w:rsidDel="00000000" w:rsidP="00000000" w:rsidRDefault="00000000" w:rsidRPr="00000000" w14:paraId="00000014">
      <w:pPr>
        <w:spacing w:after="240" w:before="240" w:lineRule="auto"/>
        <w:jc w:val="both"/>
        <w:rPr>
          <w:rFonts w:ascii="Arial" w:cs="Arial" w:eastAsia="Arial" w:hAnsi="Arial"/>
          <w:b w:val="1"/>
          <w:sz w:val="20"/>
          <w:szCs w:val="20"/>
          <w:u w:val="single"/>
        </w:rPr>
      </w:pPr>
      <w:r w:rsidDel="00000000" w:rsidR="00000000" w:rsidRPr="00000000">
        <w:rPr>
          <w:rFonts w:ascii="Arial" w:cs="Arial" w:eastAsia="Arial" w:hAnsi="Arial"/>
          <w:sz w:val="20"/>
          <w:szCs w:val="20"/>
          <w:rtl w:val="0"/>
        </w:rPr>
        <w:t xml:space="preserve">Samsung inspira al mundo y da forma al futuro con ideas y tecnologías transformadoras. La empresa está redefiniendo los mundos de los televisores, de la señalización digital, de los smartphones, de los wearables, tabletas, electrodomésticos, así como de los sistemas de red, la memoria, el LSI de sistemas y la fundición. Samsung también está avanzando en tecnologías de imagen médica, soluciones de climatización y robótica, al tiempo que crea productos innovadores para automoción y audio a través de Harman. Con su ecosistema SmartThings, la colaboración abierta con sus socios y la integración de la inteligencia artificial en toda su cartera, Samsung ofrece una experiencia conectada inteligente y sin fisuras. Para conocer las últimas noticias, visita la sala de prensa de Samsung en </w:t>
      </w:r>
      <w:hyperlink r:id="rId7">
        <w:r w:rsidDel="00000000" w:rsidR="00000000" w:rsidRPr="00000000">
          <w:rPr>
            <w:rFonts w:ascii="Arial" w:cs="Arial" w:eastAsia="Arial" w:hAnsi="Arial"/>
            <w:color w:val="1155cc"/>
            <w:sz w:val="20"/>
            <w:szCs w:val="20"/>
            <w:u w:val="single"/>
            <w:rtl w:val="0"/>
          </w:rPr>
          <w:t xml:space="preserve">news.samsung.com</w:t>
        </w:r>
      </w:hyperlink>
      <w:r w:rsidDel="00000000" w:rsidR="00000000" w:rsidRPr="00000000">
        <w:rPr>
          <w:rFonts w:ascii="Arial" w:cs="Arial" w:eastAsia="Arial" w:hAnsi="Arial"/>
          <w:sz w:val="20"/>
          <w:szCs w:val="20"/>
          <w:rtl w:val="0"/>
        </w:rPr>
        <w:t xml:space="preserve">.</w:t>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highlight w:val="white"/>
        </w:rPr>
      </w:pPr>
      <w:r w:rsidDel="00000000" w:rsidR="00000000" w:rsidRPr="00000000">
        <w:rPr>
          <w:rtl w:val="0"/>
        </w:rPr>
      </w:r>
    </w:p>
    <w:sectPr>
      <w:footerReference r:id="rId8" w:type="default"/>
      <w:footerReference r:id="rId9" w:type="first"/>
      <w:footerReference r:id="rId10" w:type="even"/>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143192</wp:posOffset>
              </wp:positionH>
              <wp:positionV relativeFrom="paragraph">
                <wp:posOffset>-14283</wp:posOffset>
              </wp:positionV>
              <wp:extent cx="2953385" cy="386080"/>
              <wp:effectExtent b="0" l="0" r="0" t="0"/>
              <wp:wrapNone/>
              <wp:docPr descr="Confidential - Not for Public Consumption or Distribution" id="1814164381" name=""/>
              <a:graphic>
                <a:graphicData uri="http://schemas.microsoft.com/office/word/2010/wordprocessingShape">
                  <wps:wsp>
                    <wps:cNvSpPr/>
                    <wps:cNvPr id="3" name="Shape 3"/>
                    <wps:spPr>
                      <a:xfrm>
                        <a:off x="3883595" y="3601248"/>
                        <a:ext cx="2924810" cy="357505"/>
                      </a:xfrm>
                      <a:prstGeom prst="rect">
                        <a:avLst/>
                      </a:prstGeom>
                      <a:noFill/>
                      <a:ln>
                        <a:noFill/>
                      </a:ln>
                    </wps:spPr>
                    <wps:txbx>
                      <w:txbxContent>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Confidential - Not for Public Consumption or Distribution</w:t>
                          </w:r>
                        </w:p>
                      </w:txbxContent>
                    </wps:txbx>
                    <wps:bodyPr anchorCtr="0" anchor="b" bIns="19050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143192</wp:posOffset>
              </wp:positionH>
              <wp:positionV relativeFrom="paragraph">
                <wp:posOffset>-14283</wp:posOffset>
              </wp:positionV>
              <wp:extent cx="2953385" cy="386080"/>
              <wp:effectExtent b="0" l="0" r="0" t="0"/>
              <wp:wrapNone/>
              <wp:docPr descr="Confidential - Not for Public Consumption or Distribution" id="1814164381" name="image2.png"/>
              <a:graphic>
                <a:graphicData uri="http://schemas.openxmlformats.org/drawingml/2006/picture">
                  <pic:pic>
                    <pic:nvPicPr>
                      <pic:cNvPr descr="Confidential - Not for Public Consumption or Distribution" id="0" name="image2.png"/>
                      <pic:cNvPicPr preferRelativeResize="0"/>
                    </pic:nvPicPr>
                    <pic:blipFill>
                      <a:blip r:embed="rId1"/>
                      <a:srcRect/>
                      <a:stretch>
                        <a:fillRect/>
                      </a:stretch>
                    </pic:blipFill>
                    <pic:spPr>
                      <a:xfrm>
                        <a:off x="0" y="0"/>
                        <a:ext cx="2953385" cy="386080"/>
                      </a:xfrm>
                      <a:prstGeom prst="rect"/>
                      <a:ln/>
                    </pic:spPr>
                  </pic:pic>
                </a:graphicData>
              </a:graphic>
            </wp:anchor>
          </w:drawing>
        </mc:Fallback>
      </mc:AlternateConten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143192</wp:posOffset>
              </wp:positionH>
              <wp:positionV relativeFrom="paragraph">
                <wp:posOffset>-14283</wp:posOffset>
              </wp:positionV>
              <wp:extent cx="2953385" cy="386080"/>
              <wp:effectExtent b="0" l="0" r="0" t="0"/>
              <wp:wrapNone/>
              <wp:docPr descr="Confidential - Not for Public Consumption or Distribution" id="1814164380" name=""/>
              <a:graphic>
                <a:graphicData uri="http://schemas.microsoft.com/office/word/2010/wordprocessingShape">
                  <wps:wsp>
                    <wps:cNvSpPr/>
                    <wps:cNvPr id="2" name="Shape 2"/>
                    <wps:spPr>
                      <a:xfrm>
                        <a:off x="3883595" y="3601248"/>
                        <a:ext cx="2924810" cy="357505"/>
                      </a:xfrm>
                      <a:prstGeom prst="rect">
                        <a:avLst/>
                      </a:prstGeom>
                      <a:noFill/>
                      <a:ln>
                        <a:noFill/>
                      </a:ln>
                    </wps:spPr>
                    <wps:txbx>
                      <w:txbxContent>
                        <w:p w:rsidR="00000000" w:rsidDel="00000000" w:rsidP="00000000" w:rsidRDefault="00000000" w:rsidRPr="00000000">
                          <w:pPr>
                            <w:spacing w:after="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Confidential - Not for Public Consumption or Distribution</w:t>
                          </w:r>
                        </w:p>
                      </w:txbxContent>
                    </wps:txbx>
                    <wps:bodyPr anchorCtr="0" anchor="b" bIns="19050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143192</wp:posOffset>
              </wp:positionH>
              <wp:positionV relativeFrom="paragraph">
                <wp:posOffset>-14283</wp:posOffset>
              </wp:positionV>
              <wp:extent cx="2953385" cy="386080"/>
              <wp:effectExtent b="0" l="0" r="0" t="0"/>
              <wp:wrapNone/>
              <wp:docPr descr="Confidential - Not for Public Consumption or Distribution" id="1814164380" name="image1.png"/>
              <a:graphic>
                <a:graphicData uri="http://schemas.openxmlformats.org/drawingml/2006/picture">
                  <pic:pic>
                    <pic:nvPicPr>
                      <pic:cNvPr descr="Confidential - Not for Public Consumption or Distribution" id="0" name="image1.png"/>
                      <pic:cNvPicPr preferRelativeResize="0"/>
                    </pic:nvPicPr>
                    <pic:blipFill>
                      <a:blip r:embed="rId1"/>
                      <a:srcRect/>
                      <a:stretch>
                        <a:fillRect/>
                      </a:stretch>
                    </pic:blipFill>
                    <pic:spPr>
                      <a:xfrm>
                        <a:off x="0" y="0"/>
                        <a:ext cx="2953385" cy="386080"/>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NormalWeb">
    <w:name w:val="Normal (Web)"/>
    <w:basedOn w:val="Normal"/>
    <w:uiPriority w:val="99"/>
    <w:unhideWhenUsed w:val="1"/>
    <w:rsid w:val="00F2382B"/>
    <w:pPr>
      <w:spacing w:after="100" w:afterAutospacing="1" w:before="100" w:beforeAutospacing="1" w:line="240" w:lineRule="auto"/>
    </w:pPr>
    <w:rPr>
      <w:rFonts w:ascii="Times New Roman" w:cs="Times New Roman" w:eastAsia="Times New Roman" w:hAnsi="Times New Roman"/>
      <w:kern w:val="0"/>
      <w:sz w:val="24"/>
      <w:szCs w:val="24"/>
      <w:lang w:eastAsia="pt-BR"/>
    </w:rPr>
  </w:style>
  <w:style w:type="character" w:styleId="Hyperlink">
    <w:name w:val="Hyperlink"/>
    <w:basedOn w:val="Fontepargpadro"/>
    <w:uiPriority w:val="99"/>
    <w:unhideWhenUsed w:val="1"/>
    <w:rsid w:val="00F2382B"/>
    <w:rPr>
      <w:color w:val="0000ff"/>
      <w:u w:val="single"/>
    </w:rPr>
  </w:style>
  <w:style w:type="character" w:styleId="MenoPendente">
    <w:name w:val="Unresolved Mention"/>
    <w:basedOn w:val="Fontepargpadro"/>
    <w:uiPriority w:val="99"/>
    <w:semiHidden w:val="1"/>
    <w:unhideWhenUsed w:val="1"/>
    <w:rsid w:val="00F2382B"/>
    <w:rPr>
      <w:color w:val="605e5c"/>
      <w:shd w:color="auto" w:fill="e1dfdd" w:val="clear"/>
    </w:rPr>
  </w:style>
  <w:style w:type="paragraph" w:styleId="Textodenotaderodap">
    <w:name w:val="footnote text"/>
    <w:basedOn w:val="Normal"/>
    <w:link w:val="TextodenotaderodapChar"/>
    <w:uiPriority w:val="99"/>
    <w:semiHidden w:val="1"/>
    <w:unhideWhenUsed w:val="1"/>
    <w:rsid w:val="007C7E3D"/>
    <w:pPr>
      <w:spacing w:after="0" w:line="240" w:lineRule="auto"/>
    </w:pPr>
    <w:rPr>
      <w:sz w:val="20"/>
      <w:szCs w:val="20"/>
    </w:rPr>
  </w:style>
  <w:style w:type="character" w:styleId="TextodenotaderodapChar" w:customStyle="1">
    <w:name w:val="Texto de nota de rodapé Char"/>
    <w:basedOn w:val="Fontepargpadro"/>
    <w:link w:val="Textodenotaderodap"/>
    <w:uiPriority w:val="99"/>
    <w:semiHidden w:val="1"/>
    <w:rsid w:val="007C7E3D"/>
    <w:rPr>
      <w:sz w:val="20"/>
      <w:szCs w:val="20"/>
    </w:rPr>
  </w:style>
  <w:style w:type="character" w:styleId="Refdenotaderodap">
    <w:name w:val="footnote reference"/>
    <w:basedOn w:val="Fontepargpadro"/>
    <w:uiPriority w:val="99"/>
    <w:semiHidden w:val="1"/>
    <w:unhideWhenUsed w:val="1"/>
    <w:rsid w:val="007C7E3D"/>
    <w:rPr>
      <w:vertAlign w:val="superscript"/>
    </w:rPr>
  </w:style>
  <w:style w:type="character" w:styleId="Refdecomentrio">
    <w:name w:val="annotation reference"/>
    <w:basedOn w:val="Fontepargpadro"/>
    <w:uiPriority w:val="99"/>
    <w:semiHidden w:val="1"/>
    <w:unhideWhenUsed w:val="1"/>
    <w:rsid w:val="00DF56A5"/>
    <w:rPr>
      <w:sz w:val="16"/>
      <w:szCs w:val="16"/>
    </w:rPr>
  </w:style>
  <w:style w:type="paragraph" w:styleId="Textodecomentrio">
    <w:name w:val="annotation text"/>
    <w:basedOn w:val="Normal"/>
    <w:link w:val="TextodecomentrioChar"/>
    <w:uiPriority w:val="99"/>
    <w:unhideWhenUsed w:val="1"/>
    <w:rsid w:val="00DF56A5"/>
    <w:pPr>
      <w:spacing w:line="240" w:lineRule="auto"/>
    </w:pPr>
    <w:rPr>
      <w:sz w:val="20"/>
      <w:szCs w:val="20"/>
    </w:rPr>
  </w:style>
  <w:style w:type="character" w:styleId="TextodecomentrioChar" w:customStyle="1">
    <w:name w:val="Texto de comentário Char"/>
    <w:basedOn w:val="Fontepargpadro"/>
    <w:link w:val="Textodecomentrio"/>
    <w:uiPriority w:val="99"/>
    <w:rsid w:val="00DF56A5"/>
    <w:rPr>
      <w:sz w:val="20"/>
      <w:szCs w:val="20"/>
    </w:rPr>
  </w:style>
  <w:style w:type="paragraph" w:styleId="Assuntodocomentrio">
    <w:name w:val="annotation subject"/>
    <w:basedOn w:val="Textodecomentrio"/>
    <w:next w:val="Textodecomentrio"/>
    <w:link w:val="AssuntodocomentrioChar"/>
    <w:uiPriority w:val="99"/>
    <w:semiHidden w:val="1"/>
    <w:unhideWhenUsed w:val="1"/>
    <w:rsid w:val="00DF56A5"/>
    <w:rPr>
      <w:b w:val="1"/>
      <w:bCs w:val="1"/>
    </w:rPr>
  </w:style>
  <w:style w:type="character" w:styleId="AssuntodocomentrioChar" w:customStyle="1">
    <w:name w:val="Assunto do comentário Char"/>
    <w:basedOn w:val="TextodecomentrioChar"/>
    <w:link w:val="Assuntodocomentrio"/>
    <w:uiPriority w:val="99"/>
    <w:semiHidden w:val="1"/>
    <w:rsid w:val="00DF56A5"/>
    <w:rPr>
      <w:b w:val="1"/>
      <w:bCs w:val="1"/>
      <w:sz w:val="20"/>
      <w:szCs w:val="20"/>
    </w:rPr>
  </w:style>
  <w:style w:type="paragraph" w:styleId="Rodap">
    <w:name w:val="footer"/>
    <w:basedOn w:val="Normal"/>
    <w:link w:val="RodapChar"/>
    <w:uiPriority w:val="99"/>
    <w:unhideWhenUsed w:val="1"/>
    <w:rsid w:val="00FC0244"/>
    <w:pPr>
      <w:tabs>
        <w:tab w:val="center" w:pos="4252"/>
        <w:tab w:val="right" w:pos="8504"/>
      </w:tabs>
      <w:spacing w:after="0" w:line="240" w:lineRule="auto"/>
    </w:pPr>
  </w:style>
  <w:style w:type="character" w:styleId="RodapChar" w:customStyle="1">
    <w:name w:val="Rodapé Char"/>
    <w:basedOn w:val="Fontepargpadro"/>
    <w:link w:val="Rodap"/>
    <w:uiPriority w:val="99"/>
    <w:rsid w:val="00FC0244"/>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3.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news.samsung.com" TargetMode="External"/><Relationship Id="rId8"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g7i6oRXNrmEIHW2xL66pCJbAA==">CgMxLjAyDmguaDVjYmZvNmd1NjJkMg5oLm1hZmZnbmRqOHNnOTgAciExN3hGbUY4eExRUmYxOUN6MmQ5YTI2N2g2RFZaX1pQQno=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2025-09-12T20:58:00Z</dcterms:created>
  <dc:creator>Marilia Padovan (FleishmanHillard)</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6c21f397,5781f2f8,2e1a62ca</vt:lpwstr>
  </property>
  <property fmtid="{D5CDD505-2E9C-101B-9397-08002B2CF9AE}" pid="3" name="ClassificationContentMarkingFooterFontProps">
    <vt:lpwstr>#000000,10,Calibri</vt:lpwstr>
  </property>
  <property fmtid="{D5CDD505-2E9C-101B-9397-08002B2CF9AE}" pid="4" name="ClassificationContentMarkingFooterText">
    <vt:lpwstr>Confidential - Not for Public Consumption or Distribution</vt:lpwstr>
  </property>
  <property fmtid="{D5CDD505-2E9C-101B-9397-08002B2CF9AE}" pid="5" name="MSIP_Label_8e19d756-792e-42a1-bcad-4cb9051ddd2d_Enabled">
    <vt:lpwstr>true</vt:lpwstr>
  </property>
  <property fmtid="{D5CDD505-2E9C-101B-9397-08002B2CF9AE}" pid="6" name="MSIP_Label_8e19d756-792e-42a1-bcad-4cb9051ddd2d_SetDate">
    <vt:lpwstr>2024-09-20T19:12:07Z</vt:lpwstr>
  </property>
  <property fmtid="{D5CDD505-2E9C-101B-9397-08002B2CF9AE}" pid="7" name="MSIP_Label_8e19d756-792e-42a1-bcad-4cb9051ddd2d_Method">
    <vt:lpwstr>Standard</vt:lpwstr>
  </property>
  <property fmtid="{D5CDD505-2E9C-101B-9397-08002B2CF9AE}" pid="8" name="MSIP_Label_8e19d756-792e-42a1-bcad-4cb9051ddd2d_Name">
    <vt:lpwstr>Confidential</vt:lpwstr>
  </property>
  <property fmtid="{D5CDD505-2E9C-101B-9397-08002B2CF9AE}" pid="9" name="MSIP_Label_8e19d756-792e-42a1-bcad-4cb9051ddd2d_SiteId">
    <vt:lpwstr>41eb501a-f671-4ce0-a5bf-b64168c3705f</vt:lpwstr>
  </property>
  <property fmtid="{D5CDD505-2E9C-101B-9397-08002B2CF9AE}" pid="10" name="MSIP_Label_8e19d756-792e-42a1-bcad-4cb9051ddd2d_ActionId">
    <vt:lpwstr>974f9c49-2188-44ff-857e-32d5856ccf2e</vt:lpwstr>
  </property>
  <property fmtid="{D5CDD505-2E9C-101B-9397-08002B2CF9AE}" pid="11" name="MSIP_Label_8e19d756-792e-42a1-bcad-4cb9051ddd2d_ContentBits">
    <vt:lpwstr>2</vt:lpwstr>
  </property>
</Properties>
</file>