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360" w:lineRule="auto"/>
        <w:jc w:val="center"/>
        <w:rPr>
          <w:b w:val="1"/>
          <w:sz w:val="28"/>
          <w:szCs w:val="28"/>
        </w:rPr>
      </w:pPr>
      <w:r w:rsidDel="00000000" w:rsidR="00000000" w:rsidRPr="00000000">
        <w:rPr>
          <w:b w:val="1"/>
          <w:sz w:val="28"/>
          <w:szCs w:val="28"/>
          <w:rtl w:val="0"/>
        </w:rPr>
        <w:t xml:space="preserve">Samsung amplía el programa “Lleva y Prueba” para televisores OLED </w:t>
      </w:r>
    </w:p>
    <w:p w:rsidR="00000000" w:rsidDel="00000000" w:rsidP="00000000" w:rsidRDefault="00000000" w:rsidRPr="00000000" w14:paraId="00000002">
      <w:pPr>
        <w:spacing w:after="240" w:before="240" w:line="360" w:lineRule="auto"/>
        <w:jc w:val="center"/>
        <w:rPr>
          <w:i w:val="1"/>
          <w:color w:val="000000"/>
        </w:rPr>
      </w:pPr>
      <w:r w:rsidDel="00000000" w:rsidR="00000000" w:rsidRPr="00000000">
        <w:rPr>
          <w:i w:val="1"/>
          <w:color w:val="000000"/>
          <w:rtl w:val="0"/>
        </w:rPr>
        <w:t xml:space="preserve">Además de las barras de sonido The Frame y Music Frame, los consumidores en América Latina ahora pueden probar modelos de la línea durante 60 días, con reembolso completo si no están satisfechos.</w:t>
      </w:r>
    </w:p>
    <w:p w:rsidR="00000000" w:rsidDel="00000000" w:rsidP="00000000" w:rsidRDefault="00000000" w:rsidRPr="00000000" w14:paraId="00000003">
      <w:pPr>
        <w:spacing w:after="240" w:before="240" w:line="360" w:lineRule="auto"/>
        <w:jc w:val="both"/>
        <w:rPr>
          <w:sz w:val="20"/>
          <w:szCs w:val="20"/>
        </w:rPr>
      </w:pPr>
      <w:r w:rsidDel="00000000" w:rsidR="00000000" w:rsidRPr="00000000">
        <w:rPr>
          <w:b w:val="1"/>
          <w:sz w:val="20"/>
          <w:szCs w:val="20"/>
          <w:highlight w:val="white"/>
          <w:rtl w:val="0"/>
        </w:rPr>
        <w:t xml:space="preserve">Santiago , septiembre </w:t>
      </w:r>
      <w:r w:rsidDel="00000000" w:rsidR="00000000" w:rsidRPr="00000000">
        <w:rPr>
          <w:b w:val="1"/>
          <w:sz w:val="20"/>
          <w:szCs w:val="20"/>
          <w:rtl w:val="0"/>
        </w:rPr>
        <w:t xml:space="preserve">de 2025 –</w:t>
      </w:r>
      <w:r w:rsidDel="00000000" w:rsidR="00000000" w:rsidRPr="00000000">
        <w:rPr>
          <w:sz w:val="20"/>
          <w:szCs w:val="20"/>
          <w:rtl w:val="0"/>
        </w:rPr>
        <w:t xml:space="preserve"> Samsung, consolidada como líder global en el mercado de televisores durante 19 años y en barras de sonido durante 11 años, amplía el alcance de su programa “Compra y Prueba” en América Latina a la línea de televisores Samsung OLED 2025. El programa ya cubre las barras de sonido de las series Q y S, Music Frame, la línea de televisores Lifestyle The Frame y Galaxy Z Fold7. La iniciativa, válida para compras en la tienda online oficial </w:t>
      </w:r>
      <w:hyperlink r:id="rId8">
        <w:r w:rsidDel="00000000" w:rsidR="00000000" w:rsidRPr="00000000">
          <w:rPr>
            <w:color w:val="467886"/>
            <w:sz w:val="20"/>
            <w:szCs w:val="20"/>
            <w:u w:val="single"/>
            <w:rtl w:val="0"/>
          </w:rPr>
          <w:t xml:space="preserve">Samsung.com/cl</w:t>
        </w:r>
      </w:hyperlink>
      <w:r w:rsidDel="00000000" w:rsidR="00000000" w:rsidRPr="00000000">
        <w:rPr>
          <w:sz w:val="20"/>
          <w:szCs w:val="20"/>
          <w:rtl w:val="0"/>
        </w:rPr>
        <w:t xml:space="preserve"> y a través de la aplicación </w:t>
      </w:r>
      <w:r w:rsidDel="00000000" w:rsidR="00000000" w:rsidRPr="00000000">
        <w:rPr>
          <w:b w:val="1"/>
          <w:sz w:val="20"/>
          <w:szCs w:val="20"/>
          <w:rtl w:val="0"/>
        </w:rPr>
        <w:t xml:space="preserve">Samsung Shop App</w:t>
      </w:r>
      <w:r w:rsidDel="00000000" w:rsidR="00000000" w:rsidRPr="00000000">
        <w:rPr>
          <w:sz w:val="20"/>
          <w:szCs w:val="20"/>
          <w:rtl w:val="0"/>
        </w:rPr>
        <w:t xml:space="preserve"> ofrece a los consumidores la oportunidad de probar estos productos durante 60 días, con la opción de un reembolso completo si no están satisfechos</w:t>
      </w:r>
      <w:r w:rsidDel="00000000" w:rsidR="00000000" w:rsidRPr="00000000">
        <w:rPr>
          <w:sz w:val="20"/>
          <w:szCs w:val="20"/>
          <w:vertAlign w:val="superscript"/>
        </w:rPr>
        <w:footnoteReference w:customMarkFollows="0" w:id="0"/>
      </w:r>
      <w:r w:rsidDel="00000000" w:rsidR="00000000" w:rsidRPr="00000000">
        <w:rPr>
          <w:sz w:val="20"/>
          <w:szCs w:val="20"/>
          <w:rtl w:val="0"/>
        </w:rPr>
        <w:t xml:space="preserve">.</w:t>
      </w:r>
    </w:p>
    <w:p w:rsidR="00000000" w:rsidDel="00000000" w:rsidP="00000000" w:rsidRDefault="00000000" w:rsidRPr="00000000" w14:paraId="00000004">
      <w:pPr>
        <w:spacing w:line="360" w:lineRule="auto"/>
        <w:jc w:val="both"/>
        <w:rPr>
          <w:sz w:val="20"/>
          <w:szCs w:val="20"/>
        </w:rPr>
      </w:pPr>
      <w:r w:rsidDel="00000000" w:rsidR="00000000" w:rsidRPr="00000000">
        <w:rPr>
          <w:sz w:val="20"/>
          <w:szCs w:val="20"/>
          <w:rtl w:val="0"/>
        </w:rPr>
        <w:t xml:space="preserve">Con paneles ultrafinos, de hasta 1,1cm de grosor y diseño minimalista, la tecnología OLED de Samsung está formada por píxeles que emiten su propia luz de forma orgánica, sin necesidad de una capa de retroiluminación. Esto permite obtener imágenes con negros absolutos y contraste infinito, especialmente en escenas oscuras o ambientes con poca luz, proporcionando una calidad de imagen superior con colores vibrantes y realistas.</w:t>
      </w:r>
    </w:p>
    <w:p w:rsidR="00000000" w:rsidDel="00000000" w:rsidP="00000000" w:rsidRDefault="00000000" w:rsidRPr="00000000" w14:paraId="00000005">
      <w:pPr>
        <w:spacing w:line="360" w:lineRule="auto"/>
        <w:jc w:val="both"/>
        <w:rPr>
          <w:sz w:val="20"/>
          <w:szCs w:val="20"/>
        </w:rPr>
      </w:pPr>
      <w:r w:rsidDel="00000000" w:rsidR="00000000" w:rsidRPr="00000000">
        <w:rPr>
          <w:rtl w:val="0"/>
        </w:rPr>
      </w:r>
    </w:p>
    <w:p w:rsidR="00000000" w:rsidDel="00000000" w:rsidP="00000000" w:rsidRDefault="00000000" w:rsidRPr="00000000" w14:paraId="00000006">
      <w:pPr>
        <w:spacing w:line="360" w:lineRule="auto"/>
        <w:jc w:val="both"/>
        <w:rPr>
          <w:sz w:val="20"/>
          <w:szCs w:val="20"/>
        </w:rPr>
      </w:pPr>
      <w:r w:rsidDel="00000000" w:rsidR="00000000" w:rsidRPr="00000000">
        <w:rPr>
          <w:sz w:val="20"/>
          <w:szCs w:val="20"/>
          <w:rtl w:val="0"/>
        </w:rPr>
        <w:t xml:space="preserve">La tecnología también permite tiempos de respuesta rápidos y altas frecuencias de actualización (hasta 165 Hz), beneficiando ambientes de cine en casa, juegos y contenidos diversos.</w:t>
      </w:r>
    </w:p>
    <w:p w:rsidR="00000000" w:rsidDel="00000000" w:rsidP="00000000" w:rsidRDefault="00000000" w:rsidRPr="00000000" w14:paraId="00000007">
      <w:pPr>
        <w:spacing w:line="360" w:lineRule="auto"/>
        <w:jc w:val="both"/>
        <w:rPr>
          <w:sz w:val="20"/>
          <w:szCs w:val="20"/>
        </w:rPr>
      </w:pPr>
      <w:r w:rsidDel="00000000" w:rsidR="00000000" w:rsidRPr="00000000">
        <w:rPr>
          <w:rtl w:val="0"/>
        </w:rPr>
      </w:r>
    </w:p>
    <w:p w:rsidR="00000000" w:rsidDel="00000000" w:rsidP="00000000" w:rsidRDefault="00000000" w:rsidRPr="00000000" w14:paraId="00000008">
      <w:pPr>
        <w:spacing w:line="360" w:lineRule="auto"/>
        <w:jc w:val="both"/>
        <w:rPr>
          <w:sz w:val="20"/>
          <w:szCs w:val="20"/>
        </w:rPr>
      </w:pPr>
      <w:r w:rsidDel="00000000" w:rsidR="00000000" w:rsidRPr="00000000">
        <w:rPr>
          <w:sz w:val="20"/>
          <w:szCs w:val="20"/>
          <w:rtl w:val="0"/>
        </w:rPr>
        <w:t xml:space="preserve">La tecnología OLED de Samsung es especialmente adecuada para quienes buscan excelencia visual e inmersión sin los reflejos ni fugas de luz típicos de los paneles LED tradicionales. Otras diferencias que se pueden destacar en el producto son:</w:t>
      </w:r>
    </w:p>
    <w:p w:rsidR="00000000" w:rsidDel="00000000" w:rsidP="00000000" w:rsidRDefault="00000000" w:rsidRPr="00000000" w14:paraId="00000009">
      <w:pPr>
        <w:spacing w:line="360" w:lineRule="auto"/>
        <w:jc w:val="both"/>
        <w:rPr>
          <w:sz w:val="20"/>
          <w:szCs w:val="20"/>
        </w:rPr>
      </w:pPr>
      <w:r w:rsidDel="00000000" w:rsidR="00000000" w:rsidRPr="00000000">
        <w:rPr>
          <w:rtl w:val="0"/>
        </w:rPr>
      </w:r>
    </w:p>
    <w:p w:rsidR="00000000" w:rsidDel="00000000" w:rsidP="00000000" w:rsidRDefault="00000000" w:rsidRPr="00000000" w14:paraId="0000000A">
      <w:pPr>
        <w:numPr>
          <w:ilvl w:val="0"/>
          <w:numId w:val="1"/>
        </w:numPr>
        <w:spacing w:line="360" w:lineRule="auto"/>
        <w:ind w:left="720" w:hanging="360"/>
        <w:jc w:val="both"/>
        <w:rPr>
          <w:sz w:val="20"/>
          <w:szCs w:val="20"/>
        </w:rPr>
      </w:pPr>
      <w:r w:rsidDel="00000000" w:rsidR="00000000" w:rsidRPr="00000000">
        <w:rPr>
          <w:b w:val="1"/>
          <w:sz w:val="20"/>
          <w:szCs w:val="20"/>
          <w:rtl w:val="0"/>
        </w:rPr>
        <w:t xml:space="preserve">Colores vibrantes y precisión de imagen:</w:t>
      </w:r>
      <w:r w:rsidDel="00000000" w:rsidR="00000000" w:rsidRPr="00000000">
        <w:rPr>
          <w:sz w:val="20"/>
          <w:szCs w:val="20"/>
          <w:rtl w:val="0"/>
        </w:rPr>
        <w:t xml:space="preserve"> La tecnología OLED ofrece colores más realistas, saturados y fieles, mejorando la experiencia en deportes, juegos y contenidos cinematográficos.</w:t>
      </w:r>
    </w:p>
    <w:p w:rsidR="00000000" w:rsidDel="00000000" w:rsidP="00000000" w:rsidRDefault="00000000" w:rsidRPr="00000000" w14:paraId="0000000B">
      <w:pPr>
        <w:numPr>
          <w:ilvl w:val="0"/>
          <w:numId w:val="1"/>
        </w:numPr>
        <w:spacing w:line="360" w:lineRule="auto"/>
        <w:ind w:left="720" w:hanging="360"/>
        <w:jc w:val="both"/>
        <w:rPr>
          <w:sz w:val="20"/>
          <w:szCs w:val="20"/>
        </w:rPr>
      </w:pPr>
      <w:r w:rsidDel="00000000" w:rsidR="00000000" w:rsidRPr="00000000">
        <w:rPr>
          <w:b w:val="1"/>
          <w:sz w:val="20"/>
          <w:szCs w:val="20"/>
          <w:rtl w:val="0"/>
        </w:rPr>
        <w:t xml:space="preserve">Amplios ángulos de visión:</w:t>
      </w:r>
      <w:r w:rsidDel="00000000" w:rsidR="00000000" w:rsidRPr="00000000">
        <w:rPr>
          <w:sz w:val="20"/>
          <w:szCs w:val="20"/>
          <w:rtl w:val="0"/>
        </w:rPr>
        <w:t xml:space="preserve"> La calidad de la imagen se mantiene estable incluso cuando se ve desde ángulos laterales extremos, lo que garantiza una buena visualización para todos en la sala.</w:t>
      </w:r>
    </w:p>
    <w:p w:rsidR="00000000" w:rsidDel="00000000" w:rsidP="00000000" w:rsidRDefault="00000000" w:rsidRPr="00000000" w14:paraId="0000000C">
      <w:pPr>
        <w:numPr>
          <w:ilvl w:val="0"/>
          <w:numId w:val="1"/>
        </w:numPr>
        <w:spacing w:line="360" w:lineRule="auto"/>
        <w:ind w:left="720" w:hanging="360"/>
        <w:jc w:val="both"/>
        <w:rPr>
          <w:sz w:val="20"/>
          <w:szCs w:val="20"/>
        </w:rPr>
      </w:pPr>
      <w:r w:rsidDel="00000000" w:rsidR="00000000" w:rsidRPr="00000000">
        <w:rPr>
          <w:b w:val="1"/>
          <w:sz w:val="20"/>
          <w:szCs w:val="20"/>
          <w:rtl w:val="0"/>
        </w:rPr>
        <w:t xml:space="preserve">Respuesta rápida y bajo retraso de entrada:</w:t>
      </w:r>
      <w:r w:rsidDel="00000000" w:rsidR="00000000" w:rsidRPr="00000000">
        <w:rPr>
          <w:sz w:val="20"/>
          <w:szCs w:val="20"/>
          <w:rtl w:val="0"/>
        </w:rPr>
        <w:t xml:space="preserve"> Ideal para gamers, ofrece fluidez y evita borrones en escenas de movimiento rápido.</w:t>
      </w:r>
    </w:p>
    <w:p w:rsidR="00000000" w:rsidDel="00000000" w:rsidP="00000000" w:rsidRDefault="00000000" w:rsidRPr="00000000" w14:paraId="0000000D">
      <w:pPr>
        <w:numPr>
          <w:ilvl w:val="0"/>
          <w:numId w:val="1"/>
        </w:numPr>
        <w:spacing w:line="360" w:lineRule="auto"/>
        <w:ind w:left="720" w:hanging="360"/>
        <w:jc w:val="both"/>
        <w:rPr>
          <w:sz w:val="20"/>
          <w:szCs w:val="20"/>
        </w:rPr>
      </w:pPr>
      <w:r w:rsidDel="00000000" w:rsidR="00000000" w:rsidRPr="00000000">
        <w:rPr>
          <w:b w:val="1"/>
          <w:sz w:val="20"/>
          <w:szCs w:val="20"/>
          <w:rtl w:val="0"/>
        </w:rPr>
        <w:t xml:space="preserve">Reducción de reflejos</w:t>
      </w:r>
      <w:r w:rsidDel="00000000" w:rsidR="00000000" w:rsidRPr="00000000">
        <w:rPr>
          <w:sz w:val="20"/>
          <w:szCs w:val="20"/>
          <w:rtl w:val="0"/>
        </w:rPr>
        <w:t xml:space="preserve">: Minimiza los reflejos de la luz ambiental, proporcionando una mejor visualización incluso en ubicaciones más brillantes.</w:t>
      </w:r>
    </w:p>
    <w:p w:rsidR="00000000" w:rsidDel="00000000" w:rsidP="00000000" w:rsidRDefault="00000000" w:rsidRPr="00000000" w14:paraId="0000000E">
      <w:pPr>
        <w:numPr>
          <w:ilvl w:val="0"/>
          <w:numId w:val="1"/>
        </w:numPr>
        <w:spacing w:line="360" w:lineRule="auto"/>
        <w:ind w:left="720" w:hanging="360"/>
        <w:jc w:val="both"/>
        <w:rPr>
          <w:sz w:val="20"/>
          <w:szCs w:val="20"/>
        </w:rPr>
      </w:pPr>
      <w:r w:rsidDel="00000000" w:rsidR="00000000" w:rsidRPr="00000000">
        <w:rPr>
          <w:b w:val="1"/>
          <w:sz w:val="20"/>
          <w:szCs w:val="20"/>
          <w:rtl w:val="0"/>
        </w:rPr>
        <w:t xml:space="preserve">Ultimate Gaming Pack: </w:t>
      </w:r>
      <w:r w:rsidDel="00000000" w:rsidR="00000000" w:rsidRPr="00000000">
        <w:rPr>
          <w:sz w:val="20"/>
          <w:szCs w:val="20"/>
          <w:rtl w:val="0"/>
        </w:rPr>
        <w:t xml:space="preserve">Tecnología AMD Freesync™ Premium Pro, NVIDIA G-SYNC y hasta 165 Hz, que mejoran la fluidez de la imagen para una experiencia sin distorsiones ni vibraciones, especialmente en juegos.</w:t>
      </w:r>
    </w:p>
    <w:p w:rsidR="00000000" w:rsidDel="00000000" w:rsidP="00000000" w:rsidRDefault="00000000" w:rsidRPr="00000000" w14:paraId="0000000F">
      <w:pPr>
        <w:numPr>
          <w:ilvl w:val="0"/>
          <w:numId w:val="1"/>
        </w:numPr>
        <w:spacing w:line="360" w:lineRule="auto"/>
        <w:ind w:left="720" w:hanging="360"/>
        <w:jc w:val="both"/>
        <w:rPr>
          <w:sz w:val="20"/>
          <w:szCs w:val="20"/>
        </w:rPr>
      </w:pPr>
      <w:r w:rsidDel="00000000" w:rsidR="00000000" w:rsidRPr="00000000">
        <w:rPr>
          <w:b w:val="1"/>
          <w:sz w:val="20"/>
          <w:szCs w:val="20"/>
          <w:rtl w:val="0"/>
        </w:rPr>
        <w:t xml:space="preserve">Experiencia premium de cine en casa:</w:t>
      </w:r>
      <w:r w:rsidDel="00000000" w:rsidR="00000000" w:rsidRPr="00000000">
        <w:rPr>
          <w:sz w:val="20"/>
          <w:szCs w:val="20"/>
          <w:rtl w:val="0"/>
        </w:rPr>
        <w:t xml:space="preserve"> Ofrece calidad de imagen y profundidad para quienes buscan una experiencia audiovisual envolvente y única.</w:t>
      </w:r>
    </w:p>
    <w:p w:rsidR="00000000" w:rsidDel="00000000" w:rsidP="00000000" w:rsidRDefault="00000000" w:rsidRPr="00000000" w14:paraId="00000010">
      <w:pPr>
        <w:spacing w:line="360" w:lineRule="auto"/>
        <w:jc w:val="both"/>
        <w:rPr>
          <w:sz w:val="20"/>
          <w:szCs w:val="20"/>
        </w:rPr>
      </w:pPr>
      <w:r w:rsidDel="00000000" w:rsidR="00000000" w:rsidRPr="00000000">
        <w:rPr>
          <w:rtl w:val="0"/>
        </w:rPr>
      </w:r>
    </w:p>
    <w:p w:rsidR="00000000" w:rsidDel="00000000" w:rsidP="00000000" w:rsidRDefault="00000000" w:rsidRPr="00000000" w14:paraId="00000011">
      <w:pPr>
        <w:spacing w:line="360" w:lineRule="auto"/>
        <w:jc w:val="both"/>
        <w:rPr>
          <w:sz w:val="20"/>
          <w:szCs w:val="20"/>
        </w:rPr>
      </w:pPr>
      <w:r w:rsidDel="00000000" w:rsidR="00000000" w:rsidRPr="00000000">
        <w:rPr>
          <w:sz w:val="20"/>
          <w:szCs w:val="20"/>
          <w:rtl w:val="0"/>
        </w:rPr>
        <w:t xml:space="preserve">Nuestro programa "Compra y Prueba" ya ha brindado a los consumidores la oportunidad de disfrutar de una experiencia de sonido única con las barras de sonido premium de Samsung. Al extenderlo a los televisores The Frame, acercamos el diseño y el arte al consumidor. Ahora, queremos darle a nuestros clientes la oportunidad de explorar los avances en la tecnología OLED, combinando calidad visual, diseño minimalista y el uso más práctico e innovador de la inteligencia artificial”, afirma Celso Barros, Director de Visual Displays de Samsung para América Latina.</w:t>
      </w:r>
    </w:p>
    <w:p w:rsidR="00000000" w:rsidDel="00000000" w:rsidP="00000000" w:rsidRDefault="00000000" w:rsidRPr="00000000" w14:paraId="00000012">
      <w:pPr>
        <w:spacing w:line="360" w:lineRule="auto"/>
        <w:jc w:val="both"/>
        <w:rPr>
          <w:b w:val="1"/>
          <w:sz w:val="20"/>
          <w:szCs w:val="20"/>
        </w:rPr>
      </w:pPr>
      <w:r w:rsidDel="00000000" w:rsidR="00000000" w:rsidRPr="00000000">
        <w:rPr>
          <w:rtl w:val="0"/>
        </w:rPr>
      </w:r>
    </w:p>
    <w:p w:rsidR="00000000" w:rsidDel="00000000" w:rsidP="00000000" w:rsidRDefault="00000000" w:rsidRPr="00000000" w14:paraId="00000013">
      <w:pPr>
        <w:spacing w:line="360" w:lineRule="auto"/>
        <w:jc w:val="both"/>
        <w:rPr>
          <w:b w:val="1"/>
          <w:sz w:val="20"/>
          <w:szCs w:val="20"/>
        </w:rPr>
      </w:pPr>
      <w:r w:rsidDel="00000000" w:rsidR="00000000" w:rsidRPr="00000000">
        <w:rPr>
          <w:b w:val="1"/>
          <w:sz w:val="20"/>
          <w:szCs w:val="20"/>
          <w:rtl w:val="0"/>
        </w:rPr>
        <w:t xml:space="preserve">Otros productos del programa “Lleva y Prueba” de Samsung </w:t>
      </w:r>
    </w:p>
    <w:p w:rsidR="00000000" w:rsidDel="00000000" w:rsidP="00000000" w:rsidRDefault="00000000" w:rsidRPr="00000000" w14:paraId="00000014">
      <w:pPr>
        <w:spacing w:line="360" w:lineRule="auto"/>
        <w:jc w:val="both"/>
        <w:rPr>
          <w:sz w:val="20"/>
          <w:szCs w:val="20"/>
        </w:rPr>
      </w:pPr>
      <w:r w:rsidDel="00000000" w:rsidR="00000000" w:rsidRPr="00000000">
        <w:rPr>
          <w:sz w:val="20"/>
          <w:szCs w:val="20"/>
          <w:rtl w:val="0"/>
        </w:rPr>
        <w:t xml:space="preserve">El programa “Compra y Prueba” de Samsung también incluye la línea de televisores The Frame, que ofrecen un diseño moderno con un marco personalizable y un fino acabado que armoniza con diferentes estilos de decoración. El modelo cuenta con Art Mode, que muestra obras de arte o fotos personales cuando el televisor está apagado, aportando elegancia y personalidad a la estancia. La calidad de imagen está garantizada por la tecnología QLED, con puntos cuánticos reales libres de cadmio, que proporciona imágenes nítidas y coloridas. Además, cuenta con funciones inteligentes Samsung Vision AI, que ofrecen un sonido envolvente sincronizado con las barras de sonido Samsung y funciones como sensor de movimiento, sensor de brillo y Mat Canvas, optimizando la experiencia del usuario.</w:t>
      </w:r>
    </w:p>
    <w:p w:rsidR="00000000" w:rsidDel="00000000" w:rsidP="00000000" w:rsidRDefault="00000000" w:rsidRPr="00000000" w14:paraId="00000015">
      <w:pPr>
        <w:spacing w:line="360" w:lineRule="auto"/>
        <w:jc w:val="both"/>
        <w:rPr>
          <w:sz w:val="20"/>
          <w:szCs w:val="20"/>
        </w:rPr>
      </w:pPr>
      <w:r w:rsidDel="00000000" w:rsidR="00000000" w:rsidRPr="00000000">
        <w:rPr>
          <w:rtl w:val="0"/>
        </w:rPr>
      </w:r>
    </w:p>
    <w:p w:rsidR="00000000" w:rsidDel="00000000" w:rsidP="00000000" w:rsidRDefault="00000000" w:rsidRPr="00000000" w14:paraId="00000016">
      <w:pPr>
        <w:spacing w:line="360" w:lineRule="auto"/>
        <w:jc w:val="both"/>
        <w:rPr>
          <w:sz w:val="20"/>
          <w:szCs w:val="20"/>
        </w:rPr>
      </w:pPr>
      <w:r w:rsidDel="00000000" w:rsidR="00000000" w:rsidRPr="00000000">
        <w:rPr>
          <w:sz w:val="20"/>
          <w:szCs w:val="20"/>
          <w:rtl w:val="0"/>
        </w:rPr>
        <w:t xml:space="preserve">Otra línea de productos disponibles en el programa son las barras de sonido Serie Q, Serie S y Music Frame. La Serie Q está compuesta por modelos premium con sonido envolvente y tecnologías como Wireless Dolby Atmos y SpaceFit Sound Pro. La Serie S presenta barras de sonido compactas y sofisticadas con un diseño ultradelgado. The Music Frame destaca por su diseño personalizable, que se asemeja a una pintura y combina audio de alta calidad con estilo, en la misma línea que The Frame.</w:t>
      </w:r>
    </w:p>
    <w:p w:rsidR="00000000" w:rsidDel="00000000" w:rsidP="00000000" w:rsidRDefault="00000000" w:rsidRPr="00000000" w14:paraId="00000017">
      <w:pPr>
        <w:spacing w:line="360" w:lineRule="auto"/>
        <w:jc w:val="both"/>
        <w:rPr>
          <w:sz w:val="20"/>
          <w:szCs w:val="20"/>
        </w:rPr>
      </w:pPr>
      <w:r w:rsidDel="00000000" w:rsidR="00000000" w:rsidRPr="00000000">
        <w:rPr>
          <w:rtl w:val="0"/>
        </w:rPr>
      </w:r>
    </w:p>
    <w:p w:rsidR="00000000" w:rsidDel="00000000" w:rsidP="00000000" w:rsidRDefault="00000000" w:rsidRPr="00000000" w14:paraId="00000018">
      <w:pPr>
        <w:spacing w:line="360" w:lineRule="auto"/>
        <w:jc w:val="both"/>
        <w:rPr>
          <w:sz w:val="20"/>
          <w:szCs w:val="20"/>
        </w:rPr>
      </w:pPr>
      <w:r w:rsidDel="00000000" w:rsidR="00000000" w:rsidRPr="00000000">
        <w:rPr>
          <w:sz w:val="20"/>
          <w:szCs w:val="20"/>
          <w:rtl w:val="0"/>
        </w:rPr>
        <w:t xml:space="preserve">En la línea de dispositivos móviles, el programa Compra y Prueba incluye el nuevo modelo Galaxy Z Fold7. Compacto por fuera y potente por dentro, este smartphone plegable destaca por su diseño delgado, durabilidad y pantalla externa Super AMOLED de 4,1 pulgadas, expandida de borde a borde, que permite acceder a aplicaciones y widgets con mayor comodidad. Como parte del ecosistema Samsung, se conecta a los televisores y dispositivos de audio de la marca a través de la plataforma Samsung SmartThings. </w:t>
      </w:r>
    </w:p>
    <w:p w:rsidR="00000000" w:rsidDel="00000000" w:rsidP="00000000" w:rsidRDefault="00000000" w:rsidRPr="00000000" w14:paraId="00000019">
      <w:pPr>
        <w:spacing w:line="360" w:lineRule="auto"/>
        <w:jc w:val="both"/>
        <w:rPr>
          <w:sz w:val="20"/>
          <w:szCs w:val="20"/>
        </w:rPr>
      </w:pPr>
      <w:r w:rsidDel="00000000" w:rsidR="00000000" w:rsidRPr="00000000">
        <w:rPr>
          <w:rtl w:val="0"/>
        </w:rPr>
      </w:r>
    </w:p>
    <w:p w:rsidR="00000000" w:rsidDel="00000000" w:rsidP="00000000" w:rsidRDefault="00000000" w:rsidRPr="00000000" w14:paraId="0000001A">
      <w:pPr>
        <w:spacing w:line="360" w:lineRule="auto"/>
        <w:jc w:val="both"/>
        <w:rPr>
          <w:sz w:val="20"/>
          <w:szCs w:val="20"/>
        </w:rPr>
      </w:pPr>
      <w:r w:rsidDel="00000000" w:rsidR="00000000" w:rsidRPr="00000000">
        <w:rPr>
          <w:rtl w:val="0"/>
        </w:rPr>
      </w:r>
    </w:p>
    <w:p w:rsidR="00000000" w:rsidDel="00000000" w:rsidP="00000000" w:rsidRDefault="00000000" w:rsidRPr="00000000" w14:paraId="0000001B">
      <w:pPr>
        <w:spacing w:line="360" w:lineRule="auto"/>
        <w:jc w:val="both"/>
        <w:rPr>
          <w:b w:val="1"/>
          <w:sz w:val="20"/>
          <w:szCs w:val="20"/>
          <w:highlight w:val="yellow"/>
        </w:rPr>
      </w:pPr>
      <w:r w:rsidDel="00000000" w:rsidR="00000000" w:rsidRPr="00000000">
        <w:rPr>
          <w:sz w:val="20"/>
          <w:szCs w:val="20"/>
          <w:rtl w:val="0"/>
        </w:rPr>
        <w:t xml:space="preserve">Para obtener más información sobre la campaña y los productos del programa, visite: </w:t>
      </w:r>
      <w:hyperlink r:id="rId9">
        <w:r w:rsidDel="00000000" w:rsidR="00000000" w:rsidRPr="00000000">
          <w:rPr>
            <w:color w:val="1155cc"/>
            <w:sz w:val="20"/>
            <w:szCs w:val="20"/>
            <w:u w:val="single"/>
            <w:rtl w:val="0"/>
          </w:rPr>
          <w:t xml:space="preserve">https://www.samsung.com/cl/offer/buy-and-try</w:t>
        </w:r>
      </w:hyperlink>
      <w:r w:rsidDel="00000000" w:rsidR="00000000" w:rsidRPr="00000000">
        <w:rPr>
          <w:sz w:val="20"/>
          <w:szCs w:val="20"/>
          <w:rtl w:val="0"/>
        </w:rPr>
        <w:t xml:space="preserve"> </w:t>
      </w:r>
      <w:r w:rsidDel="00000000" w:rsidR="00000000" w:rsidRPr="00000000">
        <w:rPr>
          <w:rtl w:val="0"/>
        </w:rPr>
      </w:r>
    </w:p>
    <w:p w:rsidR="00000000" w:rsidDel="00000000" w:rsidP="00000000" w:rsidRDefault="00000000" w:rsidRPr="00000000" w14:paraId="0000001C">
      <w:pPr>
        <w:spacing w:after="240" w:before="240" w:line="240" w:lineRule="auto"/>
        <w:jc w:val="center"/>
        <w:rPr>
          <w:color w:val="000000"/>
          <w:sz w:val="20"/>
          <w:szCs w:val="20"/>
        </w:rPr>
      </w:pPr>
      <w:bookmarkStart w:colFirst="0" w:colLast="0" w:name="_heading=h.xy8xfh1n32s1" w:id="0"/>
      <w:bookmarkEnd w:id="0"/>
      <w:r w:rsidDel="00000000" w:rsidR="00000000" w:rsidRPr="00000000">
        <w:rPr>
          <w:color w:val="000000"/>
          <w:sz w:val="20"/>
          <w:szCs w:val="20"/>
          <w:rtl w:val="0"/>
        </w:rPr>
        <w:t xml:space="preserve">###</w:t>
      </w:r>
    </w:p>
    <w:p w:rsidR="00000000" w:rsidDel="00000000" w:rsidP="00000000" w:rsidRDefault="00000000" w:rsidRPr="00000000" w14:paraId="0000001D">
      <w:pPr>
        <w:spacing w:line="240" w:lineRule="auto"/>
        <w:rPr>
          <w:b w:val="1"/>
          <w:sz w:val="20"/>
          <w:szCs w:val="20"/>
          <w:u w:val="single"/>
        </w:rPr>
      </w:pPr>
      <w:r w:rsidDel="00000000" w:rsidR="00000000" w:rsidRPr="00000000">
        <w:rPr>
          <w:b w:val="1"/>
          <w:sz w:val="20"/>
          <w:szCs w:val="20"/>
          <w:u w:val="single"/>
          <w:rtl w:val="0"/>
        </w:rPr>
        <w:t xml:space="preserve">Sobre a Samsung Electronics Co., Ltd.</w:t>
      </w:r>
    </w:p>
    <w:p w:rsidR="00000000" w:rsidDel="00000000" w:rsidP="00000000" w:rsidRDefault="00000000" w:rsidRPr="00000000" w14:paraId="0000001E">
      <w:pPr>
        <w:spacing w:line="240" w:lineRule="auto"/>
        <w:jc w:val="right"/>
        <w:rPr>
          <w:sz w:val="10"/>
          <w:szCs w:val="10"/>
        </w:rPr>
      </w:pPr>
      <w:r w:rsidDel="00000000" w:rsidR="00000000" w:rsidRPr="00000000">
        <w:rPr>
          <w:rtl w:val="0"/>
        </w:rPr>
      </w:r>
    </w:p>
    <w:p w:rsidR="00000000" w:rsidDel="00000000" w:rsidP="00000000" w:rsidRDefault="00000000" w:rsidRPr="00000000" w14:paraId="0000001F">
      <w:pPr>
        <w:spacing w:after="160" w:line="259" w:lineRule="auto"/>
        <w:jc w:val="both"/>
        <w:rPr>
          <w:color w:val="000000"/>
          <w:sz w:val="20"/>
          <w:szCs w:val="20"/>
          <w:highlight w:val="white"/>
        </w:rPr>
      </w:pPr>
      <w:r w:rsidDel="00000000" w:rsidR="00000000" w:rsidRPr="00000000">
        <w:rPr>
          <w:color w:val="000000"/>
          <w:sz w:val="20"/>
          <w:szCs w:val="20"/>
          <w:rtl w:val="0"/>
        </w:rPr>
        <w:t xml:space="preserve">A Samsung Electronics Co., Ltd. inspira o mundo e molda o futuro com ideias e tecnologias transformadoras. A empresa está redefinindo o mundo de televisores, smartphones, dispositivos portáteis, tablets, eletrodomésticos, sistemas de rede, memória, sistema LSI e soluções de semicondutores e LED e oferece uma experiência conectada perfeita por meio do seu ecossistema SmartThings e da colaboração aberta com parceiros. Para acompanhar as últimas notícias, visite a Samsung Newsroom </w:t>
      </w:r>
      <w:r w:rsidDel="00000000" w:rsidR="00000000" w:rsidRPr="00000000">
        <w:rPr>
          <w:color w:val="000000"/>
          <w:sz w:val="20"/>
          <w:szCs w:val="20"/>
          <w:highlight w:val="white"/>
          <w:rtl w:val="0"/>
        </w:rPr>
        <w:t xml:space="preserve">em </w:t>
      </w:r>
      <w:hyperlink r:id="rId10">
        <w:r w:rsidDel="00000000" w:rsidR="00000000" w:rsidRPr="00000000">
          <w:rPr>
            <w:color w:val="0000ff"/>
            <w:sz w:val="20"/>
            <w:szCs w:val="20"/>
            <w:highlight w:val="white"/>
            <w:u w:val="single"/>
            <w:rtl w:val="0"/>
          </w:rPr>
          <w:t xml:space="preserve">https://news.samsung.com/br</w:t>
        </w:r>
      </w:hyperlink>
      <w:r w:rsidDel="00000000" w:rsidR="00000000" w:rsidRPr="00000000">
        <w:rPr>
          <w:color w:val="000000"/>
          <w:sz w:val="20"/>
          <w:szCs w:val="20"/>
          <w:highlight w:val="white"/>
          <w:rtl w:val="0"/>
        </w:rPr>
        <w:t xml:space="preserve">.</w:t>
      </w:r>
    </w:p>
    <w:p w:rsidR="00000000" w:rsidDel="00000000" w:rsidP="00000000" w:rsidRDefault="00000000" w:rsidRPr="00000000" w14:paraId="00000020">
      <w:pPr>
        <w:spacing w:after="240" w:before="240" w:line="240" w:lineRule="auto"/>
        <w:jc w:val="both"/>
        <w:rPr>
          <w:b w:val="1"/>
          <w:color w:val="000000"/>
          <w:sz w:val="20"/>
          <w:szCs w:val="20"/>
          <w:u w:val="single"/>
        </w:rPr>
      </w:pPr>
      <w:r w:rsidDel="00000000" w:rsidR="00000000" w:rsidRPr="00000000">
        <w:rPr>
          <w:b w:val="1"/>
          <w:color w:val="000000"/>
          <w:sz w:val="20"/>
          <w:szCs w:val="20"/>
          <w:u w:val="single"/>
          <w:rtl w:val="0"/>
        </w:rPr>
        <w:t xml:space="preserve">Acerca de Samsung Electronics Co., Ltd.</w:t>
      </w:r>
    </w:p>
    <w:p w:rsidR="00000000" w:rsidDel="00000000" w:rsidP="00000000" w:rsidRDefault="00000000" w:rsidRPr="00000000" w14:paraId="00000021">
      <w:pPr>
        <w:spacing w:after="160" w:line="259" w:lineRule="auto"/>
        <w:jc w:val="both"/>
        <w:rPr>
          <w:color w:val="000000"/>
          <w:sz w:val="20"/>
          <w:szCs w:val="20"/>
          <w:highlight w:val="white"/>
        </w:rPr>
      </w:pPr>
      <w:r w:rsidDel="00000000" w:rsidR="00000000" w:rsidRPr="00000000">
        <w:rPr>
          <w:color w:val="000000"/>
          <w:sz w:val="20"/>
          <w:szCs w:val="20"/>
          <w:rtl w:val="0"/>
        </w:rPr>
        <w:t xml:space="preserve">Samsung inspira al mundo y diseña el futuro con ideas y tecnologías transformadoras. La compañía está redefiniendo el mundo de las TV, los smartphones, los wearables, las tablets, los electrodomésticos, los sistemas de redes y las soluciones de memoria, sistemas LSI, semiconductores y LED y ofrece una experiencia conectada perfecta por medio de su ecosistema SmartThings y la colaboración abierta con sus socios. Para conocer las últimas noticias, visite la Sala de Prensa de Samsung </w:t>
      </w:r>
      <w:r w:rsidDel="00000000" w:rsidR="00000000" w:rsidRPr="00000000">
        <w:rPr>
          <w:color w:val="000000"/>
          <w:sz w:val="20"/>
          <w:szCs w:val="20"/>
          <w:highlight w:val="white"/>
          <w:rtl w:val="0"/>
        </w:rPr>
        <w:t xml:space="preserve">en</w:t>
      </w:r>
      <w:hyperlink r:id="rId11">
        <w:r w:rsidDel="00000000" w:rsidR="00000000" w:rsidRPr="00000000">
          <w:rPr>
            <w:color w:val="1155cc"/>
            <w:sz w:val="20"/>
            <w:szCs w:val="20"/>
            <w:highlight w:val="white"/>
            <w:rtl w:val="0"/>
          </w:rPr>
          <w:t xml:space="preserve"> </w:t>
        </w:r>
      </w:hyperlink>
      <w:hyperlink r:id="rId12">
        <w:r w:rsidDel="00000000" w:rsidR="00000000" w:rsidRPr="00000000">
          <w:rPr>
            <w:color w:val="1155cc"/>
            <w:sz w:val="20"/>
            <w:szCs w:val="20"/>
            <w:highlight w:val="yellow"/>
            <w:u w:val="single"/>
            <w:rtl w:val="0"/>
          </w:rPr>
          <w:t xml:space="preserve">http://news.samsung.com/XXXXXXX</w:t>
        </w:r>
      </w:hyperlink>
      <w:r w:rsidDel="00000000" w:rsidR="00000000" w:rsidRPr="00000000">
        <w:rPr>
          <w:sz w:val="20"/>
          <w:szCs w:val="20"/>
          <w:rtl w:val="0"/>
        </w:rPr>
        <w:t xml:space="preserve">.</w:t>
      </w:r>
      <w:r w:rsidDel="00000000" w:rsidR="00000000" w:rsidRPr="00000000">
        <w:rPr>
          <w:rtl w:val="0"/>
        </w:rPr>
      </w:r>
    </w:p>
    <w:p w:rsidR="00000000" w:rsidDel="00000000" w:rsidP="00000000" w:rsidRDefault="00000000" w:rsidRPr="00000000" w14:paraId="00000022">
      <w:pPr>
        <w:spacing w:line="360" w:lineRule="auto"/>
        <w:jc w:val="both"/>
        <w:rPr>
          <w:b w:val="1"/>
          <w:sz w:val="20"/>
          <w:szCs w:val="20"/>
          <w:highlight w:val="yellow"/>
        </w:rPr>
      </w:pPr>
      <w:r w:rsidDel="00000000" w:rsidR="00000000" w:rsidRPr="00000000">
        <w:rPr>
          <w:rtl w:val="0"/>
        </w:rPr>
      </w:r>
    </w:p>
    <w:sectPr>
      <w:footerReference r:id="rId13" w:type="default"/>
      <w:footerReference r:id="rId14" w:type="first"/>
      <w:footerReference r:id="rId15" w:type="even"/>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480060</wp:posOffset>
              </wp:positionH>
              <wp:positionV relativeFrom="paragraph">
                <wp:posOffset>-4761</wp:posOffset>
              </wp:positionV>
              <wp:extent cx="2944495" cy="378460"/>
              <wp:effectExtent b="0" l="0" r="0" t="0"/>
              <wp:wrapNone/>
              <wp:docPr descr="Confidential - Not for Public Consumption or Distribution" id="2139269075" name=""/>
              <a:graphic>
                <a:graphicData uri="http://schemas.microsoft.com/office/word/2010/wordprocessingShape">
                  <wps:wsp>
                    <wps:cNvSpPr/>
                    <wps:cNvPr id="3" name="Shape 3"/>
                    <wps:spPr>
                      <a:xfrm>
                        <a:off x="3878515" y="3595533"/>
                        <a:ext cx="2934970" cy="368935"/>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Calibri" w:cs="Calibri" w:eastAsia="Calibri" w:hAnsi="Calibri"/>
                              <w:b w:val="0"/>
                              <w:i w:val="0"/>
                              <w:smallCaps w:val="0"/>
                              <w:strike w:val="0"/>
                              <w:color w:val="000000"/>
                              <w:sz w:val="20"/>
                              <w:vertAlign w:val="baseline"/>
                            </w:rPr>
                            <w:t xml:space="preserve">Confidencial - No destinado a consumo público o distribución</w:t>
                          </w:r>
                        </w:p>
                      </w:txbxContent>
                    </wps:txbx>
                    <wps:bodyPr anchorCtr="0" anchor="b" bIns="19050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480060</wp:posOffset>
              </wp:positionH>
              <wp:positionV relativeFrom="paragraph">
                <wp:posOffset>-4761</wp:posOffset>
              </wp:positionV>
              <wp:extent cx="2944495" cy="378460"/>
              <wp:effectExtent b="0" l="0" r="0" t="0"/>
              <wp:wrapNone/>
              <wp:docPr descr="Confidential - Not for Public Consumption or Distribution" id="2139269075" name="image2.png"/>
              <a:graphic>
                <a:graphicData uri="http://schemas.openxmlformats.org/drawingml/2006/picture">
                  <pic:pic>
                    <pic:nvPicPr>
                      <pic:cNvPr descr="Confidential - Not for Public Consumption or Distribution" id="0" name="image2.png"/>
                      <pic:cNvPicPr preferRelativeResize="0"/>
                    </pic:nvPicPr>
                    <pic:blipFill>
                      <a:blip r:embed="rId1"/>
                      <a:srcRect/>
                      <a:stretch>
                        <a:fillRect/>
                      </a:stretch>
                    </pic:blipFill>
                    <pic:spPr>
                      <a:xfrm>
                        <a:off x="0" y="0"/>
                        <a:ext cx="2944495" cy="378460"/>
                      </a:xfrm>
                      <a:prstGeom prst="rect"/>
                      <a:ln/>
                    </pic:spPr>
                  </pic:pic>
                </a:graphicData>
              </a:graphic>
            </wp:anchor>
          </w:drawing>
        </mc:Fallback>
      </mc:AlternateContent>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480060</wp:posOffset>
              </wp:positionH>
              <wp:positionV relativeFrom="paragraph">
                <wp:posOffset>-4761</wp:posOffset>
              </wp:positionV>
              <wp:extent cx="2944495" cy="378460"/>
              <wp:effectExtent b="0" l="0" r="0" t="0"/>
              <wp:wrapNone/>
              <wp:docPr descr="Confidential - Not for Public Consumption or Distribution" id="2139269076" name=""/>
              <a:graphic>
                <a:graphicData uri="http://schemas.microsoft.com/office/word/2010/wordprocessingShape">
                  <wps:wsp>
                    <wps:cNvSpPr/>
                    <wps:cNvPr id="4" name="Shape 4"/>
                    <wps:spPr>
                      <a:xfrm>
                        <a:off x="3878515" y="3595533"/>
                        <a:ext cx="2934970" cy="368935"/>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Calibri" w:cs="Calibri" w:eastAsia="Calibri" w:hAnsi="Calibri"/>
                              <w:b w:val="0"/>
                              <w:i w:val="0"/>
                              <w:smallCaps w:val="0"/>
                              <w:strike w:val="0"/>
                              <w:color w:val="000000"/>
                              <w:sz w:val="20"/>
                              <w:vertAlign w:val="baseline"/>
                            </w:rPr>
                            <w:t xml:space="preserve">Confidencial - No destinado a consumo público o distribución</w:t>
                          </w:r>
                        </w:p>
                      </w:txbxContent>
                    </wps:txbx>
                    <wps:bodyPr anchorCtr="0" anchor="b" bIns="19050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480060</wp:posOffset>
              </wp:positionH>
              <wp:positionV relativeFrom="paragraph">
                <wp:posOffset>-4761</wp:posOffset>
              </wp:positionV>
              <wp:extent cx="2944495" cy="378460"/>
              <wp:effectExtent b="0" l="0" r="0" t="0"/>
              <wp:wrapNone/>
              <wp:docPr descr="Confidential - Not for Public Consumption or Distribution" id="2139269076" name="image3.png"/>
              <a:graphic>
                <a:graphicData uri="http://schemas.openxmlformats.org/drawingml/2006/picture">
                  <pic:pic>
                    <pic:nvPicPr>
                      <pic:cNvPr descr="Confidential - Not for Public Consumption or Distribution" id="0" name="image3.png"/>
                      <pic:cNvPicPr preferRelativeResize="0"/>
                    </pic:nvPicPr>
                    <pic:blipFill>
                      <a:blip r:embed="rId1"/>
                      <a:srcRect/>
                      <a:stretch>
                        <a:fillRect/>
                      </a:stretch>
                    </pic:blipFill>
                    <pic:spPr>
                      <a:xfrm>
                        <a:off x="0" y="0"/>
                        <a:ext cx="2944495" cy="378460"/>
                      </a:xfrm>
                      <a:prstGeom prst="rect"/>
                      <a:ln/>
                    </pic:spPr>
                  </pic:pic>
                </a:graphicData>
              </a:graphic>
            </wp:anchor>
          </w:drawing>
        </mc:Fallback>
      </mc:AlternateContent>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480060</wp:posOffset>
              </wp:positionH>
              <wp:positionV relativeFrom="paragraph">
                <wp:posOffset>-4761</wp:posOffset>
              </wp:positionV>
              <wp:extent cx="2944495" cy="378460"/>
              <wp:effectExtent b="0" l="0" r="0" t="0"/>
              <wp:wrapNone/>
              <wp:docPr descr="Confidential - Not for Public Consumption or Distribution" id="2139269074" name=""/>
              <a:graphic>
                <a:graphicData uri="http://schemas.microsoft.com/office/word/2010/wordprocessingShape">
                  <wps:wsp>
                    <wps:cNvSpPr/>
                    <wps:cNvPr id="2" name="Shape 2"/>
                    <wps:spPr>
                      <a:xfrm>
                        <a:off x="3878515" y="3595533"/>
                        <a:ext cx="2934970" cy="368935"/>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Calibri" w:cs="Calibri" w:eastAsia="Calibri" w:hAnsi="Calibri"/>
                              <w:b w:val="0"/>
                              <w:i w:val="0"/>
                              <w:smallCaps w:val="0"/>
                              <w:strike w:val="0"/>
                              <w:color w:val="000000"/>
                              <w:sz w:val="20"/>
                              <w:vertAlign w:val="baseline"/>
                            </w:rPr>
                            <w:t xml:space="preserve">Confidencial - No destinado a consumo público o distribución</w:t>
                          </w:r>
                        </w:p>
                      </w:txbxContent>
                    </wps:txbx>
                    <wps:bodyPr anchorCtr="0" anchor="b" bIns="19050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480060</wp:posOffset>
              </wp:positionH>
              <wp:positionV relativeFrom="paragraph">
                <wp:posOffset>-4761</wp:posOffset>
              </wp:positionV>
              <wp:extent cx="2944495" cy="378460"/>
              <wp:effectExtent b="0" l="0" r="0" t="0"/>
              <wp:wrapNone/>
              <wp:docPr descr="Confidential - Not for Public Consumption or Distribution" id="2139269074" name="image1.png"/>
              <a:graphic>
                <a:graphicData uri="http://schemas.openxmlformats.org/drawingml/2006/picture">
                  <pic:pic>
                    <pic:nvPicPr>
                      <pic:cNvPr descr="Confidential - Not for Public Consumption or Distribution" id="0" name="image1.png"/>
                      <pic:cNvPicPr preferRelativeResize="0"/>
                    </pic:nvPicPr>
                    <pic:blipFill>
                      <a:blip r:embed="rId1"/>
                      <a:srcRect/>
                      <a:stretch>
                        <a:fillRect/>
                      </a:stretch>
                    </pic:blipFill>
                    <pic:spPr>
                      <a:xfrm>
                        <a:off x="0" y="0"/>
                        <a:ext cx="2944495" cy="378460"/>
                      </a:xfrm>
                      <a:prstGeom prst="rect"/>
                      <a:ln/>
                    </pic:spPr>
                  </pic:pic>
                </a:graphicData>
              </a:graphic>
            </wp:anchor>
          </w:drawing>
        </mc:Fallback>
      </mc:AlternateContent>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23">
      <w:pPr>
        <w:spacing w:line="240" w:lineRule="auto"/>
        <w:rPr>
          <w:sz w:val="16"/>
          <w:szCs w:val="16"/>
        </w:rPr>
      </w:pPr>
      <w:r w:rsidDel="00000000" w:rsidR="00000000" w:rsidRPr="00000000">
        <w:rPr>
          <w:rStyle w:val="FootnoteReference"/>
          <w:vertAlign w:val="superscript"/>
        </w:rPr>
        <w:footnoteRef/>
      </w:r>
      <w:r w:rsidDel="00000000" w:rsidR="00000000" w:rsidRPr="00000000">
        <w:rPr>
          <w:sz w:val="16"/>
          <w:szCs w:val="16"/>
          <w:highlight w:val="white"/>
          <w:rtl w:val="0"/>
        </w:rPr>
        <w:t xml:space="preserve"> La campaña Compra y Prueba es válida exclusivamente para compras realizadas a través de Samsung eStore y está sujeta a términos y condiciones específicos, incluidos criterios de elegibilidad para los productos participantes, plazos y procedimientos de devolución. Para obtener más detalles sobre la política de reembolso y las condiciones de la campaña, visite los</w:t>
      </w:r>
      <w:r w:rsidDel="00000000" w:rsidR="00000000" w:rsidRPr="00000000">
        <w:rPr>
          <w:rtl w:val="0"/>
        </w:rPr>
        <w:t xml:space="preserve"> </w:t>
      </w:r>
      <w:hyperlink r:id="rId1">
        <w:r w:rsidDel="00000000" w:rsidR="00000000" w:rsidRPr="00000000">
          <w:rPr>
            <w:color w:val="2963ad"/>
            <w:sz w:val="16"/>
            <w:szCs w:val="16"/>
            <w:highlight w:val="white"/>
            <w:rtl w:val="0"/>
          </w:rPr>
          <w:t xml:space="preserve">Términos y condiciones de venta de la tienda en línea</w:t>
        </w:r>
      </w:hyperlink>
      <w:r w:rsidDel="00000000" w:rsidR="00000000" w:rsidRPr="00000000">
        <w:rPr>
          <w:color w:val="2963ad"/>
          <w:sz w:val="16"/>
          <w:szCs w:val="16"/>
          <w:rtl w:val="0"/>
        </w:rPr>
        <w:t xml:space="preserve">.</w:t>
      </w:r>
      <w:r w:rsidDel="00000000" w:rsidR="00000000" w:rsidRPr="00000000">
        <w:rPr>
          <w:rtl w:val="0"/>
        </w:rPr>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_419"/>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1" w:customStyle="1">
    <w:name w:val="Table Normal1"/>
    <w:tblPr>
      <w:tblCellMar>
        <w:top w:w="0.0" w:type="dxa"/>
        <w:left w:w="0.0" w:type="dxa"/>
        <w:bottom w:w="0.0" w:type="dxa"/>
        <w:right w:w="0.0" w:type="dxa"/>
      </w:tblCellMar>
    </w:tblPr>
  </w:style>
  <w:style w:type="paragraph" w:styleId="Footer">
    <w:name w:val="footer"/>
    <w:basedOn w:val="Normal"/>
    <w:link w:val="FooterChar"/>
    <w:uiPriority w:val="99"/>
    <w:unhideWhenUsed w:val="1"/>
    <w:rsid w:val="0004167A"/>
    <w:pPr>
      <w:tabs>
        <w:tab w:val="center" w:pos="4252"/>
        <w:tab w:val="right" w:pos="8504"/>
      </w:tabs>
      <w:spacing w:line="240" w:lineRule="auto"/>
    </w:pPr>
  </w:style>
  <w:style w:type="character" w:styleId="FooterChar" w:customStyle="1">
    <w:name w:val="Footer Char"/>
    <w:basedOn w:val="DefaultParagraphFont"/>
    <w:link w:val="Footer"/>
    <w:uiPriority w:val="99"/>
    <w:rsid w:val="0004167A"/>
  </w:style>
  <w:style w:type="paragraph" w:styleId="Revision">
    <w:name w:val="Revision"/>
    <w:hidden w:val="1"/>
    <w:uiPriority w:val="99"/>
    <w:semiHidden w:val="1"/>
    <w:rsid w:val="003A2935"/>
    <w:pPr>
      <w:spacing w:line="240" w:lineRule="auto"/>
    </w:pPr>
  </w:style>
  <w:style w:type="paragraph" w:styleId="Header">
    <w:name w:val="header"/>
    <w:basedOn w:val="Normal"/>
    <w:link w:val="HeaderChar"/>
    <w:uiPriority w:val="99"/>
    <w:unhideWhenUsed w:val="1"/>
    <w:rsid w:val="006F6B5C"/>
    <w:pPr>
      <w:tabs>
        <w:tab w:val="center" w:pos="4513"/>
        <w:tab w:val="right" w:pos="9026"/>
      </w:tabs>
      <w:spacing w:line="240" w:lineRule="auto"/>
    </w:pPr>
  </w:style>
  <w:style w:type="character" w:styleId="HeaderChar" w:customStyle="1">
    <w:name w:val="Header Char"/>
    <w:basedOn w:val="DefaultParagraphFont"/>
    <w:link w:val="Header"/>
    <w:uiPriority w:val="99"/>
    <w:rsid w:val="006F6B5C"/>
  </w:style>
  <w:style w:type="character" w:styleId="Hyperlink">
    <w:name w:val="Hyperlink"/>
    <w:basedOn w:val="DefaultParagraphFont"/>
    <w:uiPriority w:val="99"/>
    <w:unhideWhenUsed w:val="1"/>
    <w:rsid w:val="00266761"/>
    <w:rPr>
      <w:color w:val="467886"/>
      <w:u w:val="single"/>
    </w:rPr>
  </w:style>
  <w:style w:type="paragraph" w:styleId="BalloonText">
    <w:name w:val="Balloon Text"/>
    <w:basedOn w:val="Normal"/>
    <w:link w:val="BalloonTextChar"/>
    <w:uiPriority w:val="99"/>
    <w:semiHidden w:val="1"/>
    <w:unhideWhenUsed w:val="1"/>
    <w:rsid w:val="009B3E1F"/>
    <w:pPr>
      <w:spacing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9B3E1F"/>
    <w:rPr>
      <w:rFonts w:ascii="Segoe UI" w:cs="Segoe UI" w:hAnsi="Segoe UI"/>
      <w:sz w:val="18"/>
      <w:szCs w:val="18"/>
    </w:rPr>
  </w:style>
  <w:style w:type="character" w:styleId="CommentReference">
    <w:name w:val="annotation reference"/>
    <w:basedOn w:val="DefaultParagraphFont"/>
    <w:uiPriority w:val="99"/>
    <w:semiHidden w:val="1"/>
    <w:unhideWhenUsed w:val="1"/>
    <w:rsid w:val="00533829"/>
    <w:rPr>
      <w:sz w:val="16"/>
      <w:szCs w:val="16"/>
    </w:rPr>
  </w:style>
  <w:style w:type="paragraph" w:styleId="CommentText">
    <w:name w:val="annotation text"/>
    <w:basedOn w:val="Normal"/>
    <w:link w:val="CommentTextChar"/>
    <w:uiPriority w:val="99"/>
    <w:unhideWhenUsed w:val="1"/>
    <w:rsid w:val="00533829"/>
    <w:pPr>
      <w:spacing w:line="240" w:lineRule="auto"/>
    </w:pPr>
    <w:rPr>
      <w:sz w:val="20"/>
      <w:szCs w:val="20"/>
    </w:rPr>
  </w:style>
  <w:style w:type="character" w:styleId="CommentTextChar" w:customStyle="1">
    <w:name w:val="Comment Text Char"/>
    <w:basedOn w:val="DefaultParagraphFont"/>
    <w:link w:val="CommentText"/>
    <w:uiPriority w:val="99"/>
    <w:rsid w:val="00533829"/>
    <w:rPr>
      <w:sz w:val="20"/>
      <w:szCs w:val="20"/>
    </w:rPr>
  </w:style>
  <w:style w:type="paragraph" w:styleId="CommentSubject">
    <w:name w:val="annotation subject"/>
    <w:basedOn w:val="CommentText"/>
    <w:next w:val="CommentText"/>
    <w:link w:val="CommentSubjectChar"/>
    <w:uiPriority w:val="99"/>
    <w:semiHidden w:val="1"/>
    <w:unhideWhenUsed w:val="1"/>
    <w:rsid w:val="00533829"/>
    <w:rPr>
      <w:b w:val="1"/>
      <w:bCs w:val="1"/>
    </w:rPr>
  </w:style>
  <w:style w:type="character" w:styleId="CommentSubjectChar" w:customStyle="1">
    <w:name w:val="Comment Subject Char"/>
    <w:basedOn w:val="CommentTextChar"/>
    <w:link w:val="CommentSubject"/>
    <w:uiPriority w:val="99"/>
    <w:semiHidden w:val="1"/>
    <w:rsid w:val="00533829"/>
    <w:rPr>
      <w:b w:val="1"/>
      <w:bCs w:val="1"/>
      <w:sz w:val="20"/>
      <w:szCs w:val="20"/>
    </w:rPr>
  </w:style>
  <w:style w:type="character" w:styleId="UnresolvedMention">
    <w:name w:val="Unresolved Mention"/>
    <w:basedOn w:val="DefaultParagraphFont"/>
    <w:uiPriority w:val="99"/>
    <w:semiHidden w:val="1"/>
    <w:unhideWhenUsed w:val="1"/>
    <w:rsid w:val="00444851"/>
    <w:rPr>
      <w:color w:val="605e5c"/>
      <w:shd w:color="auto" w:fill="e1dfdd" w:val="clear"/>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protect-eu.mimecast.com/s/Qz8-CrEwkTDpJ44Ot7tDo6?domain=news.samsung.com" TargetMode="External"/><Relationship Id="rId10" Type="http://schemas.openxmlformats.org/officeDocument/2006/relationships/hyperlink" Target="https://news.samsung.com/br" TargetMode="External"/><Relationship Id="rId13" Type="http://schemas.openxmlformats.org/officeDocument/2006/relationships/footer" Target="footer2.xml"/><Relationship Id="rId12" Type="http://schemas.openxmlformats.org/officeDocument/2006/relationships/hyperlink" Target="https://protect-eu.mimecast.com/s/Qz8-CrEwkTDpJ44Ot7tDo6?domain=news.samsung.co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samsung.com/cl/offer/buy-and-try" TargetMode="External"/><Relationship Id="rId15" Type="http://schemas.openxmlformats.org/officeDocument/2006/relationships/footer" Target="footer1.xml"/><Relationship Id="rId14" Type="http://schemas.openxmlformats.org/officeDocument/2006/relationships/footer" Target="footer3.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yperlink" Target="https://www.samsung.com/cl/"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samsung.com/br/shop/terms_and_conditions_of_sa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XxNT2zvTIFo0vqWVhm3wz/uC9mA==">CgMxLjAyDmgueHk4eGZoMW4zMnMxOAByITFNQTFRenNETXU0eFFoN0pJM3FqNXdMRXpuc1VleU1YQg==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2025-09-16T17:09:00Z</dcterms:created>
  <dc:creator>Priscila Dal Poggetto/Communication &amp; PR (LA) /LA Office/Professional/Samsung Electronics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7f82a7d1,74582d94,74175b9a</vt:lpwstr>
  </property>
  <property fmtid="{D5CDD505-2E9C-101B-9397-08002B2CF9AE}" pid="3" name="ClassificationContentMarkingFooterFontProps">
    <vt:lpwstr>#000000,10,Calibri</vt:lpwstr>
  </property>
  <property fmtid="{D5CDD505-2E9C-101B-9397-08002B2CF9AE}" pid="4" name="ClassificationContentMarkingFooterText">
    <vt:lpwstr>Confidential - Not for Public Consumption or Distribution</vt:lpwstr>
  </property>
  <property fmtid="{D5CDD505-2E9C-101B-9397-08002B2CF9AE}" pid="5" name="MSIP_Label_8e19d756-792e-42a1-bcad-4cb9051ddd2d_Enabled">
    <vt:lpwstr>true</vt:lpwstr>
  </property>
  <property fmtid="{D5CDD505-2E9C-101B-9397-08002B2CF9AE}" pid="6" name="MSIP_Label_8e19d756-792e-42a1-bcad-4cb9051ddd2d_SetDate">
    <vt:lpwstr>2025-04-30T18:23:46Z</vt:lpwstr>
  </property>
  <property fmtid="{D5CDD505-2E9C-101B-9397-08002B2CF9AE}" pid="7" name="MSIP_Label_8e19d756-792e-42a1-bcad-4cb9051ddd2d_Method">
    <vt:lpwstr>Standard</vt:lpwstr>
  </property>
  <property fmtid="{D5CDD505-2E9C-101B-9397-08002B2CF9AE}" pid="8" name="MSIP_Label_8e19d756-792e-42a1-bcad-4cb9051ddd2d_Name">
    <vt:lpwstr>Confidential</vt:lpwstr>
  </property>
  <property fmtid="{D5CDD505-2E9C-101B-9397-08002B2CF9AE}" pid="9" name="MSIP_Label_8e19d756-792e-42a1-bcad-4cb9051ddd2d_SiteId">
    <vt:lpwstr>41eb501a-f671-4ce0-a5bf-b64168c3705f</vt:lpwstr>
  </property>
  <property fmtid="{D5CDD505-2E9C-101B-9397-08002B2CF9AE}" pid="10" name="MSIP_Label_8e19d756-792e-42a1-bcad-4cb9051ddd2d_ActionId">
    <vt:lpwstr>b49c55d3-9953-47f8-aac9-f6223402b402</vt:lpwstr>
  </property>
  <property fmtid="{D5CDD505-2E9C-101B-9397-08002B2CF9AE}" pid="11" name="MSIP_Label_8e19d756-792e-42a1-bcad-4cb9051ddd2d_ContentBits">
    <vt:lpwstr>2</vt:lpwstr>
  </property>
  <property fmtid="{D5CDD505-2E9C-101B-9397-08002B2CF9AE}" pid="12" name="MSIP_Label_8e19d756-792e-42a1-bcad-4cb9051ddd2d_Tag">
    <vt:lpwstr>10, 3, 0, 1</vt:lpwstr>
  </property>
  <property fmtid="{D5CDD505-2E9C-101B-9397-08002B2CF9AE}" pid="13" name="DocumentId">
    <vt:lpwstr/>
  </property>
</Properties>
</file>