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center" w:leader="none" w:pos="4419"/>
          <w:tab w:val="right" w:leader="none" w:pos="8838"/>
        </w:tabs>
        <w:spacing w:after="0" w:line="240" w:lineRule="auto"/>
        <w:jc w:val="right"/>
        <w:rPr>
          <w:rFonts w:ascii="Arial" w:cs="Arial" w:eastAsia="Arial" w:hAnsi="Arial"/>
          <w:b w:val="1"/>
          <w:bCs w:val="1"/>
          <w:sz w:val="28"/>
          <w:szCs w:val="28"/>
        </w:rPr>
      </w:pPr>
      <w:r w:rsidDel="00000000" w:rsidR="00000000" w:rsidRPr="00000000">
        <w:rPr>
          <w:rFonts w:ascii="Calibri" w:cs="Calibri" w:eastAsia="Calibri" w:hAnsi="Calibri"/>
        </w:rPr>
        <w:drawing>
          <wp:inline distB="0" distT="0" distL="0" distR="0">
            <wp:extent cx="1657350" cy="260350"/>
            <wp:effectExtent b="0" l="0" r="0" t="0"/>
            <wp:docPr descr="https://lh7-us.googleusercontent.com/BdBI6OtfRh4PsgRm6RquRPWNr_c7D7QOEyizyLEpg7TtCbKsZLr3rBFGYg1v815XNXpQxWGD6e3GJyt8tL7AGnYpIfjvIKQaWTvEvdfe2Mp9fvk_SYXJ4SD2Fyyeut2OVqEIIhJBdyLSL6Mq8Wof8g" id="1313068364" name="image1.png"/>
            <a:graphic>
              <a:graphicData uri="http://schemas.openxmlformats.org/drawingml/2006/picture">
                <pic:pic>
                  <pic:nvPicPr>
                    <pic:cNvPr descr="https://lh7-us.googleusercontent.com/BdBI6OtfRh4PsgRm6RquRPWNr_c7D7QOEyizyLEpg7TtCbKsZLr3rBFGYg1v815XNXpQxWGD6e3GJyt8tL7AGnYpIfjvIKQaWTvEvdfe2Mp9fvk_SYXJ4SD2Fyyeut2OVqEIIhJBdyLSL6Mq8Wof8g" id="0" name="image1.png"/>
                    <pic:cNvPicPr preferRelativeResize="0"/>
                  </pic:nvPicPr>
                  <pic:blipFill>
                    <a:blip r:embed="rId7"/>
                    <a:srcRect b="0" l="0" r="0" t="0"/>
                    <a:stretch>
                      <a:fillRect/>
                    </a:stretch>
                  </pic:blipFill>
                  <pic:spPr>
                    <a:xfrm>
                      <a:off x="0" y="0"/>
                      <a:ext cx="1657350" cy="2603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jc w:val="cente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3">
      <w:pPr>
        <w:jc w:val="cente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4">
      <w:pPr>
        <w:pStyle w:val="Heading3"/>
        <w:keepNext w:val="0"/>
        <w:keepLines w:val="0"/>
        <w:pBdr>
          <w:top w:color="000000" w:space="0" w:sz="0" w:val="none"/>
          <w:left w:color="000000" w:space="0" w:sz="0" w:val="none"/>
          <w:bottom w:color="000000" w:space="0" w:sz="0" w:val="none"/>
          <w:right w:color="000000" w:space="0" w:sz="0" w:val="none"/>
          <w:between w:color="000000" w:space="0" w:sz="0" w:val="none"/>
        </w:pBdr>
        <w:spacing w:after="120" w:before="0" w:line="276" w:lineRule="auto"/>
        <w:jc w:val="center"/>
        <w:rPr>
          <w:rFonts w:ascii="Arial" w:cs="Arial" w:eastAsia="Arial" w:hAnsi="Arial"/>
          <w:b w:val="1"/>
          <w:bCs w:val="1"/>
          <w:color w:val="1b1c1d"/>
          <w:sz w:val="32"/>
          <w:szCs w:val="32"/>
        </w:rPr>
      </w:pPr>
      <w:bookmarkStart w:colFirst="0" w:colLast="0" w:name="_heading=h.k3g5ib341g7b" w:id="0"/>
      <w:bookmarkEnd w:id="0"/>
      <w:r w:rsidDel="00000000" w:rsidR="00000000" w:rsidRPr="00000000">
        <w:rPr>
          <w:rFonts w:ascii="Arial" w:cs="Arial" w:eastAsia="Arial" w:hAnsi="Arial"/>
          <w:b w:val="1"/>
          <w:bCs w:val="1"/>
          <w:color w:val="1b1c1d"/>
          <w:sz w:val="32"/>
          <w:szCs w:val="32"/>
          <w:rtl w:val="0"/>
        </w:rPr>
        <w:t xml:space="preserve">Descuentos sobre descuento en el ecosistema Samsung: tablets y Watch se suman a la antesala de fin de año</w:t>
      </w:r>
    </w:p>
    <w:p w:rsidR="00000000" w:rsidDel="00000000" w:rsidP="00000000" w:rsidRDefault="00000000" w:rsidRPr="00000000" w14:paraId="00000005">
      <w:pPr>
        <w:pStyle w:val="Heading3"/>
        <w:keepNext w:val="0"/>
        <w:keepLines w:val="0"/>
        <w:pBdr>
          <w:top w:color="000000" w:space="0" w:sz="0" w:val="none"/>
          <w:left w:color="000000" w:space="0" w:sz="0" w:val="none"/>
          <w:bottom w:color="000000" w:space="0" w:sz="0" w:val="none"/>
          <w:right w:color="000000" w:space="0" w:sz="0" w:val="none"/>
          <w:between w:color="000000" w:space="0" w:sz="0" w:val="none"/>
        </w:pBdr>
        <w:spacing w:after="120" w:before="0" w:line="276" w:lineRule="auto"/>
        <w:jc w:val="center"/>
        <w:rPr>
          <w:rFonts w:ascii="Arial" w:cs="Arial" w:eastAsia="Arial" w:hAnsi="Arial"/>
          <w:i w:val="1"/>
          <w:iCs w:val="1"/>
          <w:color w:val="1b1c1d"/>
          <w:sz w:val="22"/>
          <w:szCs w:val="22"/>
        </w:rPr>
      </w:pPr>
      <w:bookmarkStart w:colFirst="0" w:colLast="0" w:name="_heading=h.f44y78jx50rk" w:id="1"/>
      <w:bookmarkEnd w:id="1"/>
      <w:r w:rsidDel="00000000" w:rsidR="00000000" w:rsidRPr="00000000">
        <w:rPr>
          <w:rFonts w:ascii="Arial" w:cs="Arial" w:eastAsia="Arial" w:hAnsi="Arial"/>
          <w:i w:val="1"/>
          <w:iCs w:val="1"/>
          <w:color w:val="1b1c1d"/>
          <w:sz w:val="22"/>
          <w:szCs w:val="22"/>
          <w:rtl w:val="0"/>
        </w:rPr>
        <w:t xml:space="preserve">Samsung mantiene sus promociones de temporada y suma un beneficio extra para Samsung Members con el código REGALA5. En Watch7, además, se activa un 10% adicional con MUEVETE10.</w:t>
      </w:r>
      <w:r w:rsidDel="00000000" w:rsidR="00000000" w:rsidRPr="00000000">
        <w:rPr>
          <w:rtl w:val="0"/>
        </w:rPr>
      </w:r>
    </w:p>
    <w:p w:rsidR="00000000" w:rsidDel="00000000" w:rsidP="00000000" w:rsidRDefault="00000000" w:rsidRPr="00000000" w14:paraId="00000006">
      <w:pPr>
        <w:jc w:val="both"/>
        <w:rPr>
          <w:rFonts w:ascii="Arial" w:cs="Arial" w:eastAsia="Arial" w:hAnsi="Arial"/>
        </w:rPr>
      </w:pPr>
      <w:r w:rsidDel="00000000" w:rsidR="00000000" w:rsidRPr="00000000">
        <w:rPr>
          <w:rFonts w:ascii="Arial" w:cs="Arial" w:eastAsia="Arial" w:hAnsi="Arial"/>
          <w:b w:val="1"/>
          <w:bCs w:val="1"/>
          <w:rtl w:val="0"/>
        </w:rPr>
        <w:t xml:space="preserve">Santiago, diciembre de 2025 – </w:t>
      </w:r>
      <w:r w:rsidDel="00000000" w:rsidR="00000000" w:rsidRPr="00000000">
        <w:rPr>
          <w:rFonts w:ascii="Arial" w:cs="Arial" w:eastAsia="Arial" w:hAnsi="Arial"/>
          <w:rtl w:val="0"/>
        </w:rPr>
        <w:t xml:space="preserve">Para quienes buscan cerrar el año con un regalo útil o renovar su ecosistema, Samsung reforzó sus ofertas de temporada con una lógica simple: al descuento del evento se suma un beneficio adicional para usuarios Samsung Members en samsung.com mediante el código REGALA5. </w:t>
      </w:r>
    </w:p>
    <w:p w:rsidR="00000000" w:rsidDel="00000000" w:rsidP="00000000" w:rsidRDefault="00000000" w:rsidRPr="00000000" w14:paraId="00000007">
      <w:pPr>
        <w:jc w:val="both"/>
        <w:rPr>
          <w:rFonts w:ascii="Arial" w:cs="Arial" w:eastAsia="Arial" w:hAnsi="Arial"/>
          <w:b w:val="1"/>
          <w:bCs w:val="1"/>
        </w:rPr>
      </w:pPr>
      <w:r w:rsidDel="00000000" w:rsidR="00000000" w:rsidRPr="00000000">
        <w:rPr>
          <w:rFonts w:ascii="Arial" w:cs="Arial" w:eastAsia="Arial" w:hAnsi="Arial"/>
          <w:rtl w:val="0"/>
        </w:rPr>
        <w:t xml:space="preserve">En productos seleccionados, la propuesta incluye 12 cuotas sin interés y despacho gratis, extendiendo la ventana de compra hasta el 05 de enero. </w:t>
      </w:r>
      <w:r w:rsidDel="00000000" w:rsidR="00000000" w:rsidRPr="00000000">
        <w:rPr>
          <w:rtl w:val="0"/>
        </w:rPr>
      </w:r>
    </w:p>
    <w:p w:rsidR="00000000" w:rsidDel="00000000" w:rsidP="00000000" w:rsidRDefault="00000000" w:rsidRPr="00000000" w14:paraId="00000008">
      <w:pPr>
        <w:jc w:val="both"/>
        <w:rPr>
          <w:rFonts w:ascii="Arial" w:cs="Arial" w:eastAsia="Arial" w:hAnsi="Arial"/>
          <w:b w:val="1"/>
          <w:bCs w:val="1"/>
        </w:rPr>
      </w:pPr>
      <w:r w:rsidDel="00000000" w:rsidR="00000000" w:rsidRPr="00000000">
        <w:rPr>
          <w:rFonts w:ascii="Arial" w:cs="Arial" w:eastAsia="Arial" w:hAnsi="Arial"/>
          <w:b w:val="1"/>
          <w:bCs w:val="1"/>
          <w:rtl w:val="0"/>
        </w:rPr>
        <w:t xml:space="preserve">Cómo funciona el descuento extra para Samsung Members</w:t>
      </w:r>
    </w:p>
    <w:p w:rsidR="00000000" w:rsidDel="00000000" w:rsidP="00000000" w:rsidRDefault="00000000" w:rsidRPr="00000000" w14:paraId="00000009">
      <w:pPr>
        <w:jc w:val="both"/>
        <w:rPr>
          <w:rFonts w:ascii="Arial" w:cs="Arial" w:eastAsia="Arial" w:hAnsi="Arial"/>
        </w:rPr>
      </w:pPr>
      <w:r w:rsidDel="00000000" w:rsidR="00000000" w:rsidRPr="00000000">
        <w:rPr>
          <w:rFonts w:ascii="Arial" w:cs="Arial" w:eastAsia="Arial" w:hAnsi="Arial"/>
          <w:rtl w:val="0"/>
        </w:rPr>
        <w:t xml:space="preserve">El beneficio adicional se aplica sobre el precio ya rebajado del evento. Primero se elige el producto con descuento en el sitio oficial y, al momento de pagar, se ingresa el código REGALA5 para obtener un 5% extra.</w:t>
      </w:r>
    </w:p>
    <w:p w:rsidR="00000000" w:rsidDel="00000000" w:rsidP="00000000" w:rsidRDefault="00000000" w:rsidRPr="00000000" w14:paraId="0000000A">
      <w:pPr>
        <w:jc w:val="both"/>
        <w:rPr>
          <w:rFonts w:ascii="Arial" w:cs="Arial" w:eastAsia="Arial" w:hAnsi="Arial"/>
          <w:b w:val="1"/>
          <w:bCs w:val="1"/>
        </w:rPr>
      </w:pPr>
      <w:r w:rsidDel="00000000" w:rsidR="00000000" w:rsidRPr="00000000">
        <w:rPr>
          <w:rFonts w:ascii="Arial" w:cs="Arial" w:eastAsia="Arial" w:hAnsi="Arial"/>
          <w:b w:val="1"/>
          <w:bCs w:val="1"/>
          <w:rtl w:val="0"/>
        </w:rPr>
        <w:t xml:space="preserve">Ofertas destacadas: tablets y productividad en movimiento</w:t>
      </w:r>
    </w:p>
    <w:p w:rsidR="00000000" w:rsidDel="00000000" w:rsidP="00000000" w:rsidRDefault="00000000" w:rsidRPr="00000000" w14:paraId="0000000B">
      <w:pPr>
        <w:jc w:val="both"/>
        <w:rPr>
          <w:rFonts w:ascii="Arial" w:cs="Arial" w:eastAsia="Arial" w:hAnsi="Arial"/>
        </w:rPr>
      </w:pPr>
      <w:r w:rsidDel="00000000" w:rsidR="00000000" w:rsidRPr="00000000">
        <w:rPr>
          <w:rFonts w:ascii="Arial" w:cs="Arial" w:eastAsia="Arial" w:hAnsi="Arial"/>
          <w:rtl w:val="0"/>
        </w:rPr>
        <w:t xml:space="preserve">Dentro de las promociones, la familia Galaxy Tab aparece como una opción fuerte para estudiar, trabajar y entretenerse en cualquier lugar. </w:t>
      </w:r>
    </w:p>
    <w:p w:rsidR="00000000" w:rsidDel="00000000" w:rsidP="00000000" w:rsidRDefault="00000000" w:rsidRPr="00000000" w14:paraId="0000000C">
      <w:pPr>
        <w:numPr>
          <w:ilvl w:val="0"/>
          <w:numId w:val="1"/>
        </w:numPr>
        <w:spacing w:after="0" w:afterAutospacing="0"/>
        <w:ind w:left="720" w:hanging="360"/>
        <w:jc w:val="both"/>
        <w:rPr>
          <w:rFonts w:ascii="Arial" w:cs="Arial" w:eastAsia="Arial" w:hAnsi="Arial"/>
          <w:u w:val="none"/>
        </w:rPr>
      </w:pPr>
      <w:r w:rsidDel="00000000" w:rsidR="00000000" w:rsidRPr="00000000">
        <w:rPr>
          <w:rFonts w:ascii="Arial" w:cs="Arial" w:eastAsia="Arial" w:hAnsi="Arial"/>
          <w:rtl w:val="0"/>
        </w:rPr>
        <w:t xml:space="preserve">Con el código aplicado, Galaxy Tab S10 Lite queda en $269.991 desde $449.990, con un 43% de descuento </w:t>
      </w:r>
    </w:p>
    <w:p w:rsidR="00000000" w:rsidDel="00000000" w:rsidP="00000000" w:rsidRDefault="00000000" w:rsidRPr="00000000" w14:paraId="0000000D">
      <w:pPr>
        <w:numPr>
          <w:ilvl w:val="0"/>
          <w:numId w:val="1"/>
        </w:numPr>
        <w:spacing w:after="0" w:afterAutospacing="0"/>
        <w:ind w:left="720" w:hanging="360"/>
        <w:jc w:val="both"/>
        <w:rPr>
          <w:rFonts w:ascii="Arial" w:cs="Arial" w:eastAsia="Arial" w:hAnsi="Arial"/>
          <w:u w:val="none"/>
        </w:rPr>
      </w:pPr>
      <w:r w:rsidDel="00000000" w:rsidR="00000000" w:rsidRPr="00000000">
        <w:rPr>
          <w:rFonts w:ascii="Arial" w:cs="Arial" w:eastAsia="Arial" w:hAnsi="Arial"/>
          <w:rtl w:val="0"/>
        </w:rPr>
        <w:t xml:space="preserve">La Galaxy Tab S10 FE también tiene un descuento del 43%, pasando de  $599.990 a $359.991</w:t>
      </w:r>
      <w:r w:rsidDel="00000000" w:rsidR="00000000" w:rsidRPr="00000000">
        <w:rPr>
          <w:rtl w:val="0"/>
        </w:rPr>
      </w:r>
    </w:p>
    <w:p w:rsidR="00000000" w:rsidDel="00000000" w:rsidP="00000000" w:rsidRDefault="00000000" w:rsidRPr="00000000" w14:paraId="0000000E">
      <w:pPr>
        <w:numPr>
          <w:ilvl w:val="0"/>
          <w:numId w:val="1"/>
        </w:numPr>
        <w:ind w:left="720" w:hanging="360"/>
        <w:jc w:val="both"/>
        <w:rPr>
          <w:rFonts w:ascii="Arial" w:cs="Arial" w:eastAsia="Arial" w:hAnsi="Arial"/>
          <w:u w:val="none"/>
        </w:rPr>
      </w:pPr>
      <w:r w:rsidDel="00000000" w:rsidR="00000000" w:rsidRPr="00000000">
        <w:rPr>
          <w:rFonts w:ascii="Arial" w:cs="Arial" w:eastAsia="Arial" w:hAnsi="Arial"/>
          <w:rtl w:val="0"/>
        </w:rPr>
        <w:t xml:space="preserve">Finalmente, para quienes buscan una experiencia más completa orientada a productividad, la Galaxy Tab S11 Ultra llega con un 33% de descuento, alcanzando un valor de $1.124.991</w:t>
      </w:r>
      <w:r w:rsidDel="00000000" w:rsidR="00000000" w:rsidRPr="00000000">
        <w:rPr>
          <w:rtl w:val="0"/>
        </w:rPr>
      </w:r>
    </w:p>
    <w:p w:rsidR="00000000" w:rsidDel="00000000" w:rsidP="00000000" w:rsidRDefault="00000000" w:rsidRPr="00000000" w14:paraId="0000000F">
      <w:pPr>
        <w:jc w:val="both"/>
        <w:rPr>
          <w:rFonts w:ascii="Arial" w:cs="Arial" w:eastAsia="Arial" w:hAnsi="Arial"/>
          <w:b w:val="1"/>
          <w:bCs w:val="1"/>
        </w:rPr>
      </w:pPr>
      <w:r w:rsidDel="00000000" w:rsidR="00000000" w:rsidRPr="00000000">
        <w:rPr>
          <w:rFonts w:ascii="Arial" w:cs="Arial" w:eastAsia="Arial" w:hAnsi="Arial"/>
          <w:b w:val="1"/>
          <w:bCs w:val="1"/>
          <w:rtl w:val="0"/>
        </w:rPr>
        <w:t xml:space="preserve">Watch7 con doble incentivo</w:t>
      </w:r>
    </w:p>
    <w:p w:rsidR="00000000" w:rsidDel="00000000" w:rsidP="00000000" w:rsidRDefault="00000000" w:rsidRPr="00000000" w14:paraId="00000010">
      <w:pPr>
        <w:jc w:val="both"/>
        <w:rPr>
          <w:rFonts w:ascii="Arial" w:cs="Arial" w:eastAsia="Arial" w:hAnsi="Arial"/>
          <w:b w:val="1"/>
          <w:bCs w:val="1"/>
        </w:rPr>
      </w:pPr>
      <w:r w:rsidDel="00000000" w:rsidR="00000000" w:rsidRPr="00000000">
        <w:rPr>
          <w:rFonts w:ascii="Arial" w:cs="Arial" w:eastAsia="Arial" w:hAnsi="Arial"/>
          <w:rtl w:val="0"/>
        </w:rPr>
        <w:t xml:space="preserve">En wearables, la oferta se vuelve todavía más entretenida. El Galaxy Watch7 40mm queda tiene un descuento de 27%, pasando de $319.990 a $179.991, utilizando el código REGALA5. Además, Samsung suma un segundo impulso: al ingresar el código MUEVETE10, se obtiene un 10% adicional exclusivo para este modelo.</w:t>
      </w:r>
      <w:r w:rsidDel="00000000" w:rsidR="00000000" w:rsidRPr="00000000">
        <w:rPr>
          <w:rtl w:val="0"/>
        </w:rPr>
      </w:r>
    </w:p>
    <w:p w:rsidR="00000000" w:rsidDel="00000000" w:rsidP="00000000" w:rsidRDefault="00000000" w:rsidRPr="00000000" w14:paraId="00000011">
      <w:pPr>
        <w:jc w:val="both"/>
        <w:rPr>
          <w:rFonts w:ascii="Arial" w:cs="Arial" w:eastAsia="Arial" w:hAnsi="Arial"/>
          <w:b w:val="1"/>
          <w:bCs w:val="1"/>
        </w:rPr>
      </w:pPr>
      <w:r w:rsidDel="00000000" w:rsidR="00000000" w:rsidRPr="00000000">
        <w:rPr>
          <w:rFonts w:ascii="Arial" w:cs="Arial" w:eastAsia="Arial" w:hAnsi="Arial"/>
          <w:b w:val="1"/>
          <w:bCs w:val="1"/>
          <w:rtl w:val="0"/>
        </w:rPr>
        <w:t xml:space="preserve">Disponibilidad y condiciones generales</w:t>
      </w:r>
    </w:p>
    <w:p w:rsidR="00000000" w:rsidDel="00000000" w:rsidP="00000000" w:rsidRDefault="00000000" w:rsidRPr="00000000" w14:paraId="00000012">
      <w:pPr>
        <w:jc w:val="both"/>
        <w:rPr>
          <w:rFonts w:ascii="Arial" w:cs="Arial" w:eastAsia="Arial" w:hAnsi="Arial"/>
        </w:rPr>
      </w:pPr>
      <w:r w:rsidDel="00000000" w:rsidR="00000000" w:rsidRPr="00000000">
        <w:rPr>
          <w:rFonts w:ascii="Arial" w:cs="Arial" w:eastAsia="Arial" w:hAnsi="Arial"/>
          <w:rtl w:val="0"/>
        </w:rPr>
        <w:t xml:space="preserve">Las ofertas están disponibles en </w:t>
      </w:r>
      <w:hyperlink r:id="rId8">
        <w:r w:rsidDel="00000000" w:rsidR="00000000" w:rsidRPr="00000000">
          <w:rPr>
            <w:rFonts w:ascii="Arial" w:cs="Arial" w:eastAsia="Arial" w:hAnsi="Arial"/>
            <w:color w:val="1155cc"/>
            <w:u w:val="single"/>
            <w:rtl w:val="0"/>
          </w:rPr>
          <w:t xml:space="preserve">samsung.com</w:t>
        </w:r>
      </w:hyperlink>
      <w:r w:rsidDel="00000000" w:rsidR="00000000" w:rsidRPr="00000000">
        <w:rPr>
          <w:rFonts w:ascii="Arial" w:cs="Arial" w:eastAsia="Arial" w:hAnsi="Arial"/>
          <w:rtl w:val="0"/>
        </w:rPr>
        <w:t xml:space="preserve"> para los usuarios Samsung Members por tiempo limitado y hasta el 05 de enero, con 12 cuotas sin interés y despacho gratis en productos seleccionados. </w:t>
      </w:r>
    </w:p>
    <w:p w:rsidR="00000000" w:rsidDel="00000000" w:rsidP="00000000" w:rsidRDefault="00000000" w:rsidRPr="00000000" w14:paraId="00000013">
      <w:pPr>
        <w:jc w:val="both"/>
        <w:rPr>
          <w:rFonts w:ascii="Arial" w:cs="Arial" w:eastAsia="Arial" w:hAnsi="Arial"/>
        </w:rPr>
      </w:pPr>
      <w:r w:rsidDel="00000000" w:rsidR="00000000" w:rsidRPr="00000000">
        <w:rPr>
          <w:rtl w:val="0"/>
        </w:rPr>
      </w:r>
    </w:p>
    <w:p w:rsidR="00000000" w:rsidDel="00000000" w:rsidP="00000000" w:rsidRDefault="00000000" w:rsidRPr="00000000" w14:paraId="00000014">
      <w:pPr>
        <w:jc w:val="both"/>
        <w:rPr>
          <w:rFonts w:ascii="Arial" w:cs="Arial" w:eastAsia="Arial" w:hAnsi="Arial"/>
          <w:b w:val="1"/>
          <w:bCs w:val="1"/>
          <w:sz w:val="20"/>
          <w:szCs w:val="20"/>
          <w:u w:val="single"/>
        </w:rPr>
      </w:pPr>
      <w:r w:rsidDel="00000000" w:rsidR="00000000" w:rsidRPr="00000000">
        <w:rPr>
          <w:rFonts w:ascii="Arial" w:cs="Arial" w:eastAsia="Arial" w:hAnsi="Arial"/>
          <w:b w:val="1"/>
          <w:bCs w:val="1"/>
          <w:sz w:val="20"/>
          <w:szCs w:val="20"/>
          <w:u w:val="single"/>
          <w:rtl w:val="0"/>
        </w:rPr>
        <w:t xml:space="preserve">Acerca de Samsung Electronics Co., Ltd.</w:t>
      </w:r>
    </w:p>
    <w:p w:rsidR="00000000" w:rsidDel="00000000" w:rsidP="00000000" w:rsidRDefault="00000000" w:rsidRPr="00000000" w14:paraId="00000015">
      <w:pPr>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SmartThings, la colaboración abierta con sus socios y la integración de la inteligencia artificial en toda su cartera, Samsung ofrece una experiencia conectada inteligente y sin fisuras. Para conocer las últimas noticias, visita la sala de prensa de Samsung en </w:t>
      </w:r>
      <w:hyperlink r:id="rId9">
        <w:r w:rsidDel="00000000" w:rsidR="00000000" w:rsidRPr="00000000">
          <w:rPr>
            <w:rFonts w:ascii="Arial" w:cs="Arial" w:eastAsia="Arial" w:hAnsi="Arial"/>
            <w:color w:val="467886"/>
            <w:sz w:val="20"/>
            <w:szCs w:val="20"/>
            <w:u w:val="single"/>
            <w:rtl w:val="0"/>
          </w:rPr>
          <w:t xml:space="preserve">news.samsung.com</w:t>
        </w:r>
      </w:hyperlink>
      <w:r w:rsidDel="00000000" w:rsidR="00000000" w:rsidRPr="00000000">
        <w:rPr>
          <w:rFonts w:ascii="Arial" w:cs="Arial" w:eastAsia="Arial" w:hAnsi="Arial"/>
          <w:sz w:val="20"/>
          <w:szCs w:val="20"/>
          <w:rtl w:val="0"/>
        </w:rPr>
        <w:t xml:space="preserve">.</w:t>
      </w:r>
    </w:p>
    <w:p w:rsidR="00000000" w:rsidDel="00000000" w:rsidP="00000000" w:rsidRDefault="00000000" w:rsidRPr="00000000" w14:paraId="00000016">
      <w:pPr>
        <w:spacing w:after="240" w:befor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7">
      <w:pPr>
        <w:shd w:fill="ffffff" w:val="clear"/>
        <w:spacing w:after="0" w:line="240" w:lineRule="auto"/>
        <w:jc w:val="both"/>
        <w:rPr>
          <w:rFonts w:ascii="Arial" w:cs="Arial" w:eastAsia="Arial" w:hAnsi="Arial"/>
          <w:color w:val="1155cc"/>
          <w:sz w:val="18"/>
          <w:szCs w:val="18"/>
        </w:rPr>
      </w:pPr>
      <w:r w:rsidDel="00000000" w:rsidR="00000000" w:rsidRPr="00000000">
        <w:rPr>
          <w:rFonts w:ascii="Arial" w:cs="Arial" w:eastAsia="Arial" w:hAnsi="Arial"/>
          <w:b w:val="1"/>
          <w:bCs w:val="1"/>
          <w:sz w:val="18"/>
          <w:szCs w:val="18"/>
          <w:u w:val="single"/>
          <w:rtl w:val="0"/>
        </w:rPr>
        <w:t xml:space="preserve">Contacto de prensa:</w:t>
      </w:r>
      <w:r w:rsidDel="00000000" w:rsidR="00000000" w:rsidRPr="00000000">
        <w:rPr>
          <w:rFonts w:ascii="Arial" w:cs="Arial" w:eastAsia="Arial" w:hAnsi="Arial"/>
          <w:b w:val="1"/>
          <w:bCs w:val="1"/>
          <w:sz w:val="18"/>
          <w:szCs w:val="18"/>
          <w:rtl w:val="0"/>
        </w:rPr>
        <w:br w:type="textWrapping"/>
        <w:t xml:space="preserve">Ejecutivo de cuentas:</w:t>
      </w:r>
      <w:r w:rsidDel="00000000" w:rsidR="00000000" w:rsidRPr="00000000">
        <w:rPr>
          <w:rFonts w:ascii="Arial" w:cs="Arial" w:eastAsia="Arial" w:hAnsi="Arial"/>
          <w:sz w:val="18"/>
          <w:szCs w:val="18"/>
          <w:rtl w:val="0"/>
        </w:rPr>
        <w:t xml:space="preserve"> Francisco Núñez | +56 9 72110131 </w:t>
      </w:r>
      <w:r w:rsidDel="00000000" w:rsidR="00000000" w:rsidRPr="00000000">
        <w:rPr>
          <w:rFonts w:ascii="Arial" w:cs="Arial" w:eastAsia="Arial" w:hAnsi="Arial"/>
          <w:color w:val="1155cc"/>
          <w:sz w:val="18"/>
          <w:szCs w:val="18"/>
          <w:rtl w:val="0"/>
        </w:rPr>
        <w:t xml:space="preserve">| </w:t>
      </w:r>
      <w:hyperlink r:id="rId10">
        <w:r w:rsidDel="00000000" w:rsidR="00000000" w:rsidRPr="00000000">
          <w:rPr>
            <w:rFonts w:ascii="Arial" w:cs="Arial" w:eastAsia="Arial" w:hAnsi="Arial"/>
            <w:color w:val="1155cc"/>
            <w:sz w:val="18"/>
            <w:szCs w:val="18"/>
            <w:u w:val="single"/>
            <w:rtl w:val="0"/>
          </w:rPr>
          <w:t xml:space="preserve">fnunez@urbangrupo.com</w:t>
        </w:r>
      </w:hyperlink>
      <w:r w:rsidDel="00000000" w:rsidR="00000000" w:rsidRPr="00000000">
        <w:rPr>
          <w:rFonts w:ascii="Arial" w:cs="Arial" w:eastAsia="Arial" w:hAnsi="Arial"/>
          <w:color w:val="1155cc"/>
          <w:sz w:val="18"/>
          <w:szCs w:val="18"/>
          <w:rtl w:val="0"/>
        </w:rPr>
        <w:t xml:space="preserve"> </w:t>
      </w:r>
    </w:p>
    <w:p w:rsidR="00000000" w:rsidDel="00000000" w:rsidP="00000000" w:rsidRDefault="00000000" w:rsidRPr="00000000" w14:paraId="00000018">
      <w:pPr>
        <w:shd w:fill="ffffff" w:val="clear"/>
        <w:spacing w:after="0" w:line="240" w:lineRule="auto"/>
        <w:jc w:val="both"/>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Ejecutiva de cuentas:</w:t>
      </w:r>
      <w:r w:rsidDel="00000000" w:rsidR="00000000" w:rsidRPr="00000000">
        <w:rPr>
          <w:rFonts w:ascii="Arial" w:cs="Arial" w:eastAsia="Arial" w:hAnsi="Arial"/>
          <w:sz w:val="18"/>
          <w:szCs w:val="18"/>
          <w:rtl w:val="0"/>
        </w:rPr>
        <w:t xml:space="preserve"> Monse Valenzuela | +569 9770 2251 | </w:t>
      </w:r>
      <w:hyperlink r:id="rId11">
        <w:r w:rsidDel="00000000" w:rsidR="00000000" w:rsidRPr="00000000">
          <w:rPr>
            <w:rFonts w:ascii="Arial" w:cs="Arial" w:eastAsia="Arial" w:hAnsi="Arial"/>
            <w:color w:val="1155cc"/>
            <w:sz w:val="18"/>
            <w:szCs w:val="18"/>
            <w:u w:val="single"/>
            <w:rtl w:val="0"/>
          </w:rPr>
          <w:t xml:space="preserve">mvalenzuela@urbangrupo.com</w:t>
        </w:r>
      </w:hyperlink>
      <w:r w:rsidDel="00000000" w:rsidR="00000000" w:rsidRPr="00000000">
        <w:rPr>
          <w:rFonts w:ascii="Arial" w:cs="Arial" w:eastAsia="Arial" w:hAnsi="Arial"/>
          <w:sz w:val="18"/>
          <w:szCs w:val="18"/>
          <w:rtl w:val="0"/>
        </w:rPr>
        <w:t xml:space="preserve"> </w:t>
      </w:r>
    </w:p>
    <w:p w:rsidR="00000000" w:rsidDel="00000000" w:rsidP="00000000" w:rsidRDefault="00000000" w:rsidRPr="00000000" w14:paraId="00000019">
      <w:pPr>
        <w:shd w:fill="ffffff" w:val="clear"/>
        <w:spacing w:after="0" w:line="240" w:lineRule="auto"/>
        <w:jc w:val="both"/>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Coordinador de cuentas</w:t>
      </w:r>
      <w:r w:rsidDel="00000000" w:rsidR="00000000" w:rsidRPr="00000000">
        <w:rPr>
          <w:rFonts w:ascii="Arial" w:cs="Arial" w:eastAsia="Arial" w:hAnsi="Arial"/>
          <w:sz w:val="18"/>
          <w:szCs w:val="18"/>
          <w:rtl w:val="0"/>
        </w:rPr>
        <w:t xml:space="preserve">: Sebastián Martínez | +56 9 9343 9513 | </w:t>
      </w:r>
      <w:hyperlink r:id="rId12">
        <w:r w:rsidDel="00000000" w:rsidR="00000000" w:rsidRPr="00000000">
          <w:rPr>
            <w:rFonts w:ascii="Arial" w:cs="Arial" w:eastAsia="Arial" w:hAnsi="Arial"/>
            <w:color w:val="1155cc"/>
            <w:sz w:val="18"/>
            <w:szCs w:val="18"/>
            <w:u w:val="single"/>
            <w:rtl w:val="0"/>
          </w:rPr>
          <w:t xml:space="preserve">smartinez@urbangrupo.com</w:t>
        </w:r>
      </w:hyperlink>
      <w:r w:rsidDel="00000000" w:rsidR="00000000" w:rsidRPr="00000000">
        <w:rPr>
          <w:rFonts w:ascii="Arial" w:cs="Arial" w:eastAsia="Arial" w:hAnsi="Arial"/>
          <w:sz w:val="18"/>
          <w:szCs w:val="18"/>
          <w:rtl w:val="0"/>
        </w:rPr>
        <w:t xml:space="preserve"> </w:t>
      </w:r>
    </w:p>
    <w:p w:rsidR="00000000" w:rsidDel="00000000" w:rsidP="00000000" w:rsidRDefault="00000000" w:rsidRPr="00000000" w14:paraId="0000001A">
      <w:pPr>
        <w:shd w:fill="ffffff" w:val="clear"/>
        <w:spacing w:after="0" w:line="240" w:lineRule="auto"/>
        <w:jc w:val="both"/>
        <w:rPr>
          <w:rFonts w:ascii="Arial" w:cs="Arial" w:eastAsia="Arial" w:hAnsi="Arial"/>
          <w:b w:val="1"/>
          <w:bCs w:val="1"/>
          <w:sz w:val="16"/>
          <w:szCs w:val="16"/>
        </w:rPr>
      </w:pPr>
      <w:r w:rsidDel="00000000" w:rsidR="00000000" w:rsidRPr="00000000">
        <w:rPr>
          <w:rFonts w:ascii="Arial" w:cs="Arial" w:eastAsia="Arial" w:hAnsi="Arial"/>
          <w:b w:val="1"/>
          <w:bCs w:val="1"/>
          <w:sz w:val="18"/>
          <w:szCs w:val="18"/>
          <w:rtl w:val="0"/>
        </w:rPr>
        <w:t xml:space="preserve">Coordinador de cuentas: </w:t>
      </w:r>
      <w:r w:rsidDel="00000000" w:rsidR="00000000" w:rsidRPr="00000000">
        <w:rPr>
          <w:rFonts w:ascii="Arial" w:cs="Arial" w:eastAsia="Arial" w:hAnsi="Arial"/>
          <w:sz w:val="18"/>
          <w:szCs w:val="18"/>
          <w:rtl w:val="0"/>
        </w:rPr>
        <w:t xml:space="preserve">Jonathan Valenzuela | +56 9 6169 9893 |</w:t>
      </w:r>
      <w:r w:rsidDel="00000000" w:rsidR="00000000" w:rsidRPr="00000000">
        <w:rPr>
          <w:rFonts w:ascii="Arial" w:cs="Arial" w:eastAsia="Arial" w:hAnsi="Arial"/>
          <w:b w:val="1"/>
          <w:bCs w:val="1"/>
          <w:sz w:val="18"/>
          <w:szCs w:val="18"/>
          <w:rtl w:val="0"/>
        </w:rPr>
        <w:t xml:space="preserve"> </w:t>
      </w:r>
      <w:hyperlink r:id="rId13">
        <w:r w:rsidDel="00000000" w:rsidR="00000000" w:rsidRPr="00000000">
          <w:rPr>
            <w:rFonts w:ascii="Arial" w:cs="Arial" w:eastAsia="Arial" w:hAnsi="Arial"/>
            <w:color w:val="1155cc"/>
            <w:sz w:val="18"/>
            <w:szCs w:val="18"/>
            <w:u w:val="single"/>
            <w:rtl w:val="0"/>
          </w:rPr>
          <w:t xml:space="preserve">jvalenzuela@urbangrupo.com</w:t>
        </w:r>
      </w:hyperlink>
      <w:r w:rsidDel="00000000" w:rsidR="00000000" w:rsidRPr="00000000">
        <w:rPr>
          <w:rtl w:val="0"/>
        </w:rPr>
      </w:r>
    </w:p>
    <w:p w:rsidR="00000000" w:rsidDel="00000000" w:rsidP="00000000" w:rsidRDefault="00000000" w:rsidRPr="00000000" w14:paraId="0000001B">
      <w:pPr>
        <w:shd w:fill="ffffff" w:val="clear"/>
        <w:spacing w:after="0" w:line="240" w:lineRule="auto"/>
        <w:jc w:val="both"/>
        <w:rPr>
          <w:rFonts w:ascii="Arial" w:cs="Arial" w:eastAsia="Arial" w:hAnsi="Arial"/>
          <w:sz w:val="18"/>
          <w:szCs w:val="18"/>
        </w:rPr>
      </w:pPr>
      <w:r w:rsidDel="00000000" w:rsidR="00000000" w:rsidRPr="00000000">
        <w:rPr>
          <w:rFonts w:ascii="Arial" w:cs="Arial" w:eastAsia="Arial" w:hAnsi="Arial"/>
          <w:b w:val="1"/>
          <w:bCs w:val="1"/>
          <w:sz w:val="18"/>
          <w:szCs w:val="18"/>
          <w:rtl w:val="0"/>
        </w:rPr>
        <w:t xml:space="preserve">Directora:</w:t>
      </w:r>
      <w:r w:rsidDel="00000000" w:rsidR="00000000" w:rsidRPr="00000000">
        <w:rPr>
          <w:rFonts w:ascii="Arial" w:cs="Arial" w:eastAsia="Arial" w:hAnsi="Arial"/>
          <w:sz w:val="18"/>
          <w:szCs w:val="18"/>
          <w:rtl w:val="0"/>
        </w:rPr>
        <w:t xml:space="preserve"> María José Puhlmann | +56 9 4434 6814 | </w:t>
      </w:r>
      <w:hyperlink r:id="rId14">
        <w:r w:rsidDel="00000000" w:rsidR="00000000" w:rsidRPr="00000000">
          <w:rPr>
            <w:rFonts w:ascii="Arial" w:cs="Arial" w:eastAsia="Arial" w:hAnsi="Arial"/>
            <w:color w:val="1155cc"/>
            <w:sz w:val="18"/>
            <w:szCs w:val="18"/>
            <w:u w:val="single"/>
            <w:rtl w:val="0"/>
          </w:rPr>
          <w:t xml:space="preserve">mpuhlmann@urbangrupo.com</w:t>
        </w:r>
      </w:hyperlink>
      <w:r w:rsidDel="00000000" w:rsidR="00000000" w:rsidRPr="00000000">
        <w:rPr>
          <w:rtl w:val="0"/>
        </w:rPr>
      </w:r>
    </w:p>
    <w:p w:rsidR="00000000" w:rsidDel="00000000" w:rsidP="00000000" w:rsidRDefault="00000000" w:rsidRPr="00000000" w14:paraId="0000001C">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1D">
      <w:pPr>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E">
      <w:pPr>
        <w:jc w:val="both"/>
        <w:rPr>
          <w:rFonts w:ascii="Arial" w:cs="Arial" w:eastAsia="Arial" w:hAnsi="Arial"/>
          <w:sz w:val="20"/>
          <w:szCs w:val="20"/>
        </w:rPr>
      </w:pPr>
      <w:r w:rsidDel="00000000" w:rsidR="00000000" w:rsidRPr="00000000">
        <w:rPr>
          <w:rtl w:val="0"/>
        </w:rPr>
      </w:r>
    </w:p>
    <w:sectPr>
      <w:footerReference r:id="rId15" w:type="default"/>
      <w:footerReference r:id="rId16" w:type="first"/>
      <w:footerReference r:id="rId17" w:type="even"/>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F">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0">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33655</wp:posOffset>
              </wp:positionH>
              <wp:positionV relativeFrom="paragraph">
                <wp:posOffset>-123780</wp:posOffset>
              </wp:positionV>
              <wp:extent cx="3172460" cy="605155"/>
              <wp:effectExtent b="0" l="0" r="0" t="0"/>
              <wp:wrapNone/>
              <wp:docPr descr="Confidential - Not for Public Consumption or Distribution" id="1313068363" name=""/>
              <a:graphic>
                <a:graphicData uri="http://schemas.microsoft.com/office/word/2010/wordprocessingShape">
                  <wps:wsp>
                    <wps:cNvSpPr/>
                    <wps:cNvPr id="3" name="Shape 3"/>
                    <wps:spPr>
                      <a:xfrm>
                        <a:off x="3883595" y="3601248"/>
                        <a:ext cx="2924810" cy="357505"/>
                      </a:xfrm>
                      <a:prstGeom prst="rect">
                        <a:avLst/>
                      </a:prstGeom>
                      <a:noFill/>
                      <a:ln>
                        <a:noFill/>
                      </a:ln>
                    </wps:spPr>
                    <wps:txbx>
                      <w:txbxContent>
                        <w:p w:rsidR="00000000" w:rsidDel="00000000" w:rsidP="00000000" w:rsidRDefault="00000000" w:rsidRPr="00000000">
                          <w:pPr>
                            <w:spacing w:after="0" w:before="0" w:line="258.0000114440918"/>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Confidential - Not for Public Consumption or Distribution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33655</wp:posOffset>
              </wp:positionH>
              <wp:positionV relativeFrom="paragraph">
                <wp:posOffset>-123780</wp:posOffset>
              </wp:positionV>
              <wp:extent cx="3172460" cy="605155"/>
              <wp:effectExtent b="0" l="0" r="0" t="0"/>
              <wp:wrapNone/>
              <wp:docPr descr="Confidential - Not for Public Consumption or Distribution" id="1313068363" name="image3.png"/>
              <a:graphic>
                <a:graphicData uri="http://schemas.openxmlformats.org/drawingml/2006/picture">
                  <pic:pic>
                    <pic:nvPicPr>
                      <pic:cNvPr descr="Confidential - Not for Public Consumption or Distribution" id="0" name="image3.png"/>
                      <pic:cNvPicPr preferRelativeResize="0"/>
                    </pic:nvPicPr>
                    <pic:blipFill>
                      <a:blip r:embed="rId1"/>
                      <a:srcRect/>
                      <a:stretch>
                        <a:fillRect/>
                      </a:stretch>
                    </pic:blipFill>
                    <pic:spPr>
                      <a:xfrm>
                        <a:off x="0" y="0"/>
                        <a:ext cx="3172460" cy="605155"/>
                      </a:xfrm>
                      <a:prstGeom prst="rect"/>
                      <a:ln/>
                    </pic:spPr>
                  </pic:pic>
                </a:graphicData>
              </a:graphic>
            </wp:anchor>
          </w:drawing>
        </mc:Fallback>
      </mc:AlternateContent>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1">
    <w:pPr>
      <w:pBdr>
        <w:top w:space="0" w:sz="0" w:val="nil"/>
        <w:left w:space="0" w:sz="0" w:val="nil"/>
        <w:bottom w:space="0" w:sz="0" w:val="nil"/>
        <w:right w:space="0" w:sz="0" w:val="nil"/>
        <w:between w:space="0" w:sz="0" w:val="nil"/>
      </w:pBdr>
      <w:tabs>
        <w:tab w:val="center" w:leader="none" w:pos="4252"/>
        <w:tab w:val="right" w:leader="none" w:pos="8504"/>
      </w:tabs>
      <w:spacing w:after="0" w:line="240" w:lineRule="auto"/>
      <w:rPr>
        <w:color w:val="000000"/>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33655</wp:posOffset>
              </wp:positionH>
              <wp:positionV relativeFrom="paragraph">
                <wp:posOffset>-123780</wp:posOffset>
              </wp:positionV>
              <wp:extent cx="3172460" cy="605155"/>
              <wp:effectExtent b="0" l="0" r="0" t="0"/>
              <wp:wrapNone/>
              <wp:docPr descr="Confidential - Not for Public Consumption or Distribution" id="1313068362" name=""/>
              <a:graphic>
                <a:graphicData uri="http://schemas.microsoft.com/office/word/2010/wordprocessingShape">
                  <wps:wsp>
                    <wps:cNvSpPr/>
                    <wps:cNvPr id="2" name="Shape 2"/>
                    <wps:spPr>
                      <a:xfrm>
                        <a:off x="3883595" y="3601248"/>
                        <a:ext cx="2924810" cy="357505"/>
                      </a:xfrm>
                      <a:prstGeom prst="rect">
                        <a:avLst/>
                      </a:prstGeom>
                      <a:noFill/>
                      <a:ln>
                        <a:noFill/>
                      </a:ln>
                    </wps:spPr>
                    <wps:txbx>
                      <w:txbxContent>
                        <w:p w:rsidR="00000000" w:rsidDel="00000000" w:rsidP="00000000" w:rsidRDefault="00000000" w:rsidRPr="00000000">
                          <w:pPr>
                            <w:spacing w:after="0" w:before="0" w:line="258.0000114440918"/>
                            <w:ind w:left="0" w:right="0" w:firstLine="0"/>
                            <w:jc w:val="left"/>
                            <w:textDirection w:val="btLr"/>
                          </w:pPr>
                          <w:r w:rsidDel="00000000" w:rsidR="00000000" w:rsidRPr="00000000">
                            <w:rPr>
                              <w:rFonts w:ascii="Calibri" w:cs="Calibri" w:eastAsia="Calibri" w:hAnsi="Calibri"/>
                              <w:b w:val="0"/>
                              <w:i w:val="0"/>
                              <w:smallCaps w:val="0"/>
                              <w:strike w:val="0"/>
                              <w:color w:val="000000"/>
                              <w:sz w:val="20"/>
                              <w:vertAlign w:val="baseline"/>
                            </w:rPr>
                            <w:t xml:space="preserve">Confidential - Not for Public Consumption or Distribution</w:t>
                          </w:r>
                        </w:p>
                      </w:txbxContent>
                    </wps:txbx>
                    <wps:bodyPr anchorCtr="0" anchor="b" bIns="190500" lIns="0" spcFirstLastPara="1" rIns="0" wrap="square" tIns="0">
                      <a:noAutofit/>
                    </wps:bodyPr>
                  </wps:wsp>
                </a:graphicData>
              </a:graphic>
            </wp:anchor>
          </w:drawing>
        </mc:Choice>
        <mc:Fallback>
          <w:drawing>
            <wp:anchor allowOverlap="1" behindDoc="0" distB="0" distT="0" distL="0" distR="0" hidden="0" layoutInCell="1" locked="0" relativeHeight="0" simplePos="0">
              <wp:simplePos x="0" y="0"/>
              <wp:positionH relativeFrom="column">
                <wp:posOffset>33655</wp:posOffset>
              </wp:positionH>
              <wp:positionV relativeFrom="paragraph">
                <wp:posOffset>-123780</wp:posOffset>
              </wp:positionV>
              <wp:extent cx="3172460" cy="605155"/>
              <wp:effectExtent b="0" l="0" r="0" t="0"/>
              <wp:wrapNone/>
              <wp:docPr descr="Confidential - Not for Public Consumption or Distribution" id="1313068362" name="image2.png"/>
              <a:graphic>
                <a:graphicData uri="http://schemas.openxmlformats.org/drawingml/2006/picture">
                  <pic:pic>
                    <pic:nvPicPr>
                      <pic:cNvPr descr="Confidential - Not for Public Consumption or Distribution" id="0" name="image2.png"/>
                      <pic:cNvPicPr preferRelativeResize="0"/>
                    </pic:nvPicPr>
                    <pic:blipFill>
                      <a:blip r:embed="rId1"/>
                      <a:srcRect/>
                      <a:stretch>
                        <a:fillRect/>
                      </a:stretch>
                    </pic:blipFill>
                    <pic:spPr>
                      <a:xfrm>
                        <a:off x="0" y="0"/>
                        <a:ext cx="3172460" cy="605155"/>
                      </a:xfrm>
                      <a:prstGeom prst="rect"/>
                      <a:ln/>
                    </pic:spPr>
                  </pic:pic>
                </a:graphicData>
              </a:graphic>
            </wp:anchor>
          </w:drawing>
        </mc:Fallback>
      </mc:AlternateContent>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s-CL"/>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7">
    <w:name w:val="heading 7"/>
    <w:basedOn w:val="Normal"/>
    <w:next w:val="Normal"/>
    <w:link w:val="Heading7Char"/>
    <w:uiPriority w:val="9"/>
    <w:semiHidden w:val="1"/>
    <w:unhideWhenUsed w:val="1"/>
    <w:qFormat w:val="1"/>
    <w:rsid w:val="00C81946"/>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C81946"/>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C81946"/>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100.0" w:type="dxa"/>
        <w:left w:w="100.0" w:type="dxa"/>
        <w:bottom w:w="100.0" w:type="dxa"/>
        <w:right w:w="100.0" w:type="dxa"/>
      </w:tblCellMar>
    </w:tblPr>
  </w:style>
  <w:style w:type="table" w:styleId="TableNormal2" w:customStyle="1">
    <w:name w:val="TableNormal"/>
    <w:tblPr>
      <w:tblCellMar>
        <w:top w:w="100.0" w:type="dxa"/>
        <w:left w:w="100.0" w:type="dxa"/>
        <w:bottom w:w="100.0" w:type="dxa"/>
        <w:right w:w="100.0" w:type="dxa"/>
      </w:tblCellMar>
    </w:tblPr>
  </w:style>
  <w:style w:type="table" w:styleId="TableNormal3" w:customStyle="1">
    <w:name w:val="TableNormal"/>
    <w:tblPr>
      <w:tblCellMar>
        <w:top w:w="100.0" w:type="dxa"/>
        <w:left w:w="100.0" w:type="dxa"/>
        <w:bottom w:w="100.0" w:type="dxa"/>
        <w:right w:w="100.0" w:type="dxa"/>
      </w:tblCellMar>
    </w:tblPr>
  </w:style>
  <w:style w:type="table" w:styleId="TableNormal4" w:customStyle="1">
    <w:name w:val="TableNormal"/>
    <w:tblPr>
      <w:tblCellMar>
        <w:top w:w="100.0" w:type="dxa"/>
        <w:left w:w="100.0" w:type="dxa"/>
        <w:bottom w:w="100.0" w:type="dxa"/>
        <w:right w:w="100.0" w:type="dxa"/>
      </w:tblCellMar>
    </w:tblPr>
  </w:style>
  <w:style w:type="table" w:styleId="TableNormal5" w:customStyle="1">
    <w:name w:val="TableNormal"/>
    <w:tblPr>
      <w:tblCellMar>
        <w:top w:w="100.0" w:type="dxa"/>
        <w:left w:w="100.0" w:type="dxa"/>
        <w:bottom w:w="100.0" w:type="dxa"/>
        <w:right w:w="100.0" w:type="dxa"/>
      </w:tblCellMar>
    </w:tblPr>
  </w:style>
  <w:style w:type="table" w:styleId="TableNormal6" w:customStyle="1">
    <w:name w:val="TableNormal"/>
    <w:tblPr>
      <w:tblCellMar>
        <w:top w:w="100.0" w:type="dxa"/>
        <w:left w:w="100.0" w:type="dxa"/>
        <w:bottom w:w="100.0" w:type="dxa"/>
        <w:right w:w="100.0" w:type="dxa"/>
      </w:tblCellMar>
    </w:tblPr>
  </w:style>
  <w:style w:type="table" w:styleId="TableNormal7" w:customStyle="1">
    <w:name w:val="TableNormal"/>
    <w:tblPr>
      <w:tblCellMar>
        <w:top w:w="100.0" w:type="dxa"/>
        <w:left w:w="100.0" w:type="dxa"/>
        <w:bottom w:w="100.0" w:type="dxa"/>
        <w:right w:w="100.0" w:type="dxa"/>
      </w:tblCellMar>
    </w:tblPr>
  </w:style>
  <w:style w:type="table" w:styleId="TableNormal8" w:customStyle="1">
    <w:name w:val="TableNormal"/>
    <w:tblPr>
      <w:tblCellMar>
        <w:top w:w="100.0" w:type="dxa"/>
        <w:left w:w="100.0" w:type="dxa"/>
        <w:bottom w:w="100.0" w:type="dxa"/>
        <w:right w:w="100.0" w:type="dxa"/>
      </w:tblCellMar>
    </w:tblPr>
  </w:style>
  <w:style w:type="table" w:styleId="TableNormal9" w:customStyle="1">
    <w:name w:val="TableNormal"/>
    <w:tblPr>
      <w:tblCellMar>
        <w:top w:w="100.0" w:type="dxa"/>
        <w:left w:w="100.0" w:type="dxa"/>
        <w:bottom w:w="100.0" w:type="dxa"/>
        <w:right w:w="100.0" w:type="dxa"/>
      </w:tblCellMar>
    </w:tblPr>
  </w:style>
  <w:style w:type="table" w:styleId="TableNormala" w:customStyle="1">
    <w:name w:val="TableNormal"/>
    <w:tblPr>
      <w:tblCellMar>
        <w:top w:w="100.0" w:type="dxa"/>
        <w:left w:w="100.0" w:type="dxa"/>
        <w:bottom w:w="100.0" w:type="dxa"/>
        <w:right w:w="100.0" w:type="dxa"/>
      </w:tblCellMar>
    </w:tblPr>
  </w:style>
  <w:style w:type="table" w:styleId="TableNormalb" w:customStyle="1">
    <w:name w:val="TableNormal"/>
    <w:tblPr>
      <w:tblCellMar>
        <w:top w:w="100.0" w:type="dxa"/>
        <w:left w:w="100.0" w:type="dxa"/>
        <w:bottom w:w="100.0" w:type="dxa"/>
        <w:right w:w="100.0" w:type="dxa"/>
      </w:tblCellMar>
    </w:tblPr>
  </w:style>
  <w:style w:type="table" w:styleId="TableNormalc" w:customStyle="1">
    <w:name w:val="TableNormal"/>
    <w:tblPr>
      <w:tblCellMar>
        <w:top w:w="100.0" w:type="dxa"/>
        <w:left w:w="100.0" w:type="dxa"/>
        <w:bottom w:w="100.0" w:type="dxa"/>
        <w:right w:w="100.0" w:type="dxa"/>
      </w:tblCellMar>
    </w:tblPr>
  </w:style>
  <w:style w:type="table" w:styleId="TableNormald" w:customStyle="1">
    <w:name w:val="TableNormal"/>
    <w:tblPr>
      <w:tblCellMar>
        <w:top w:w="100.0" w:type="dxa"/>
        <w:left w:w="100.0" w:type="dxa"/>
        <w:bottom w:w="100.0" w:type="dxa"/>
        <w:right w:w="100.0" w:type="dxa"/>
      </w:tblCellMar>
    </w:tblPr>
  </w:style>
  <w:style w:type="table" w:styleId="TableNormale" w:customStyle="1">
    <w:name w:val="TableNormal"/>
    <w:tblPr>
      <w:tblCellMar>
        <w:top w:w="100.0" w:type="dxa"/>
        <w:left w:w="100.0" w:type="dxa"/>
        <w:bottom w:w="100.0" w:type="dxa"/>
        <w:right w:w="100.0" w:type="dxa"/>
      </w:tblCellMar>
    </w:tblPr>
  </w:style>
  <w:style w:type="table" w:styleId="TableNormalf" w:customStyle="1">
    <w:name w:val="TableNormal"/>
    <w:tblPr>
      <w:tblCellMar>
        <w:top w:w="100.0" w:type="dxa"/>
        <w:left w:w="100.0" w:type="dxa"/>
        <w:bottom w:w="100.0" w:type="dxa"/>
        <w:right w:w="100.0" w:type="dxa"/>
      </w:tblCellMar>
    </w:tblPr>
  </w:style>
  <w:style w:type="table" w:styleId="TableNormalf0" w:customStyle="1">
    <w:name w:val="TableNormal"/>
    <w:tblPr>
      <w:tblCellMar>
        <w:top w:w="100.0" w:type="dxa"/>
        <w:left w:w="100.0" w:type="dxa"/>
        <w:bottom w:w="100.0" w:type="dxa"/>
        <w:right w:w="100.0" w:type="dxa"/>
      </w:tblCellMar>
    </w:tblPr>
  </w:style>
  <w:style w:type="table" w:styleId="TableNormalf1" w:customStyle="1">
    <w:name w:val="TableNormal"/>
    <w:tblPr>
      <w:tblCellMar>
        <w:top w:w="100.0" w:type="dxa"/>
        <w:left w:w="100.0" w:type="dxa"/>
        <w:bottom w:w="100.0" w:type="dxa"/>
        <w:right w:w="100.0" w:type="dxa"/>
      </w:tblCellMar>
    </w:tblPr>
  </w:style>
  <w:style w:type="table" w:styleId="TableNormalf2" w:customStyle="1">
    <w:name w:val="TableNormal"/>
    <w:tblPr>
      <w:tblCellMar>
        <w:top w:w="100.0" w:type="dxa"/>
        <w:left w:w="100.0" w:type="dxa"/>
        <w:bottom w:w="100.0" w:type="dxa"/>
        <w:right w:w="100.0" w:type="dxa"/>
      </w:tblCellMar>
    </w:tblPr>
  </w:style>
  <w:style w:type="table" w:styleId="TableNormalf3" w:customStyle="1">
    <w:name w:val="TableNormal"/>
    <w:tblPr>
      <w:tblCellMar>
        <w:top w:w="100.0" w:type="dxa"/>
        <w:left w:w="100.0" w:type="dxa"/>
        <w:bottom w:w="100.0" w:type="dxa"/>
        <w:right w:w="100.0" w:type="dxa"/>
      </w:tblCellMar>
    </w:tblPr>
  </w:style>
  <w:style w:type="table" w:styleId="TableNormalf4" w:customStyle="1">
    <w:name w:val="TableNormal"/>
    <w:tblPr>
      <w:tblCellMar>
        <w:top w:w="100.0" w:type="dxa"/>
        <w:left w:w="100.0" w:type="dxa"/>
        <w:bottom w:w="100.0" w:type="dxa"/>
        <w:right w:w="100.0" w:type="dxa"/>
      </w:tblCellMar>
    </w:tblPr>
  </w:style>
  <w:style w:type="table" w:styleId="TableNormalf5" w:customStyle="1">
    <w:name w:val="TableNormal"/>
    <w:tblPr>
      <w:tblCellMar>
        <w:top w:w="100.0" w:type="dxa"/>
        <w:left w:w="100.0" w:type="dxa"/>
        <w:bottom w:w="100.0" w:type="dxa"/>
        <w:right w:w="100.0" w:type="dxa"/>
      </w:tblCellMar>
    </w:tblPr>
  </w:style>
  <w:style w:type="table" w:styleId="TableNormalf6" w:customStyle="1">
    <w:name w:val="TableNormal"/>
    <w:tblPr>
      <w:tblCellMar>
        <w:top w:w="100.0" w:type="dxa"/>
        <w:left w:w="100.0" w:type="dxa"/>
        <w:bottom w:w="100.0" w:type="dxa"/>
        <w:right w:w="100.0" w:type="dxa"/>
      </w:tblCellMar>
    </w:tblPr>
  </w:style>
  <w:style w:type="table" w:styleId="TableNormalf7" w:customStyle="1">
    <w:name w:val="TableNormal"/>
    <w:tblPr>
      <w:tblCellMar>
        <w:top w:w="100.0" w:type="dxa"/>
        <w:left w:w="100.0" w:type="dxa"/>
        <w:bottom w:w="100.0" w:type="dxa"/>
        <w:right w:w="100.0" w:type="dxa"/>
      </w:tblCellMar>
    </w:tblPr>
  </w:style>
  <w:style w:type="character" w:styleId="Heading1Char" w:customStyle="1">
    <w:name w:val="Heading 1 Char"/>
    <w:basedOn w:val="DefaultParagraphFont"/>
    <w:link w:val="Heading1"/>
    <w:uiPriority w:val="9"/>
    <w:rsid w:val="00C81946"/>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C81946"/>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C81946"/>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C81946"/>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C81946"/>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C81946"/>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C81946"/>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C81946"/>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C81946"/>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C81946"/>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C81946"/>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C81946"/>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C81946"/>
    <w:rPr>
      <w:i w:val="1"/>
      <w:iCs w:val="1"/>
      <w:color w:val="404040" w:themeColor="text1" w:themeTint="0000BF"/>
    </w:rPr>
  </w:style>
  <w:style w:type="paragraph" w:styleId="ListParagraph">
    <w:name w:val="List Paragraph"/>
    <w:basedOn w:val="Normal"/>
    <w:uiPriority w:val="34"/>
    <w:qFormat w:val="1"/>
    <w:rsid w:val="00C81946"/>
    <w:pPr>
      <w:ind w:left="720"/>
      <w:contextualSpacing w:val="1"/>
    </w:pPr>
  </w:style>
  <w:style w:type="character" w:styleId="IntenseEmphasis">
    <w:name w:val="Intense Emphasis"/>
    <w:basedOn w:val="DefaultParagraphFont"/>
    <w:uiPriority w:val="21"/>
    <w:qFormat w:val="1"/>
    <w:rsid w:val="00C81946"/>
    <w:rPr>
      <w:i w:val="1"/>
      <w:iCs w:val="1"/>
      <w:color w:val="0f4761" w:themeColor="accent1" w:themeShade="0000BF"/>
    </w:rPr>
  </w:style>
  <w:style w:type="paragraph" w:styleId="IntenseQuote">
    <w:name w:val="Intense Quote"/>
    <w:basedOn w:val="Normal"/>
    <w:next w:val="Normal"/>
    <w:link w:val="IntenseQuoteChar"/>
    <w:uiPriority w:val="30"/>
    <w:qFormat w:val="1"/>
    <w:rsid w:val="00C81946"/>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C81946"/>
    <w:rPr>
      <w:i w:val="1"/>
      <w:iCs w:val="1"/>
      <w:color w:val="0f4761" w:themeColor="accent1" w:themeShade="0000BF"/>
    </w:rPr>
  </w:style>
  <w:style w:type="character" w:styleId="IntenseReference">
    <w:name w:val="Intense Reference"/>
    <w:basedOn w:val="DefaultParagraphFont"/>
    <w:uiPriority w:val="32"/>
    <w:qFormat w:val="1"/>
    <w:rsid w:val="00C81946"/>
    <w:rPr>
      <w:b w:val="1"/>
      <w:bCs w:val="1"/>
      <w:smallCaps w:val="1"/>
      <w:color w:val="0f4761" w:themeColor="accent1" w:themeShade="0000BF"/>
      <w:spacing w:val="5"/>
    </w:rPr>
  </w:style>
  <w:style w:type="character" w:styleId="CommentReference">
    <w:name w:val="annotation reference"/>
    <w:basedOn w:val="DefaultParagraphFont"/>
    <w:uiPriority w:val="99"/>
    <w:semiHidden w:val="1"/>
    <w:unhideWhenUsed w:val="1"/>
    <w:rsid w:val="00C81946"/>
    <w:rPr>
      <w:sz w:val="16"/>
      <w:szCs w:val="16"/>
    </w:rPr>
  </w:style>
  <w:style w:type="paragraph" w:styleId="CommentText">
    <w:name w:val="annotation text"/>
    <w:basedOn w:val="Normal"/>
    <w:link w:val="CommentTextChar"/>
    <w:uiPriority w:val="99"/>
    <w:unhideWhenUsed w:val="1"/>
    <w:rsid w:val="00C81946"/>
    <w:pPr>
      <w:spacing w:line="240" w:lineRule="auto"/>
    </w:pPr>
    <w:rPr>
      <w:sz w:val="20"/>
      <w:szCs w:val="20"/>
    </w:rPr>
  </w:style>
  <w:style w:type="character" w:styleId="CommentTextChar" w:customStyle="1">
    <w:name w:val="Comment Text Char"/>
    <w:basedOn w:val="DefaultParagraphFont"/>
    <w:link w:val="CommentText"/>
    <w:uiPriority w:val="99"/>
    <w:rsid w:val="00C81946"/>
    <w:rPr>
      <w:sz w:val="20"/>
      <w:szCs w:val="20"/>
    </w:rPr>
  </w:style>
  <w:style w:type="character" w:styleId="Hyperlink">
    <w:name w:val="Hyperlink"/>
    <w:basedOn w:val="DefaultParagraphFont"/>
    <w:uiPriority w:val="99"/>
    <w:unhideWhenUsed w:val="1"/>
    <w:rsid w:val="00C81946"/>
    <w:rPr>
      <w:color w:val="467886" w:themeColor="hyperlink"/>
      <w:u w:val="single"/>
    </w:rPr>
  </w:style>
  <w:style w:type="character" w:styleId="UnresolvedMention1" w:customStyle="1">
    <w:name w:val="Unresolved Mention1"/>
    <w:basedOn w:val="DefaultParagraphFont"/>
    <w:uiPriority w:val="99"/>
    <w:semiHidden w:val="1"/>
    <w:unhideWhenUsed w:val="1"/>
    <w:rsid w:val="00C81946"/>
    <w:rPr>
      <w:color w:val="605e5c"/>
      <w:shd w:color="auto" w:fill="e1dfdd" w:val="clear"/>
    </w:rPr>
  </w:style>
  <w:style w:type="paragraph" w:styleId="Footer">
    <w:name w:val="footer"/>
    <w:basedOn w:val="Normal"/>
    <w:link w:val="FooterChar"/>
    <w:uiPriority w:val="99"/>
    <w:unhideWhenUsed w:val="1"/>
    <w:rsid w:val="00C81946"/>
    <w:pPr>
      <w:tabs>
        <w:tab w:val="center" w:pos="4252"/>
        <w:tab w:val="right" w:pos="8504"/>
      </w:tabs>
      <w:spacing w:after="0" w:line="240" w:lineRule="auto"/>
    </w:pPr>
  </w:style>
  <w:style w:type="character" w:styleId="FooterChar" w:customStyle="1">
    <w:name w:val="Footer Char"/>
    <w:basedOn w:val="DefaultParagraphFont"/>
    <w:link w:val="Footer"/>
    <w:uiPriority w:val="99"/>
    <w:rsid w:val="00C81946"/>
  </w:style>
  <w:style w:type="paragraph" w:styleId="CommentSubject">
    <w:name w:val="annotation subject"/>
    <w:basedOn w:val="CommentText"/>
    <w:next w:val="CommentText"/>
    <w:link w:val="CommentSubjectChar"/>
    <w:uiPriority w:val="99"/>
    <w:semiHidden w:val="1"/>
    <w:unhideWhenUsed w:val="1"/>
    <w:rsid w:val="0032239B"/>
    <w:rPr>
      <w:b w:val="1"/>
      <w:bCs w:val="1"/>
    </w:rPr>
  </w:style>
  <w:style w:type="character" w:styleId="CommentSubjectChar" w:customStyle="1">
    <w:name w:val="Comment Subject Char"/>
    <w:basedOn w:val="CommentTextChar"/>
    <w:link w:val="CommentSubject"/>
    <w:uiPriority w:val="99"/>
    <w:semiHidden w:val="1"/>
    <w:rsid w:val="0032239B"/>
    <w:rPr>
      <w:b w:val="1"/>
      <w:bCs w:val="1"/>
      <w:sz w:val="20"/>
      <w:szCs w:val="20"/>
    </w:rPr>
  </w:style>
  <w:style w:type="paragraph" w:styleId="BalloonText">
    <w:name w:val="Balloon Text"/>
    <w:basedOn w:val="Normal"/>
    <w:link w:val="BalloonTextChar"/>
    <w:uiPriority w:val="99"/>
    <w:semiHidden w:val="1"/>
    <w:unhideWhenUsed w:val="1"/>
    <w:rsid w:val="0032239B"/>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32239B"/>
    <w:rPr>
      <w:rFonts w:ascii="Segoe UI" w:cs="Segoe UI" w:hAnsi="Segoe UI"/>
      <w:sz w:val="18"/>
      <w:szCs w:val="18"/>
    </w:rPr>
  </w:style>
  <w:style w:type="paragraph" w:styleId="Subtitle">
    <w:name w:val="Subtitle"/>
    <w:basedOn w:val="Normal"/>
    <w:next w:val="Normal"/>
    <w:pPr/>
    <w:rPr>
      <w:color w:val="595959"/>
      <w:sz w:val="28"/>
      <w:szCs w:val="28"/>
    </w:rPr>
  </w:style>
</w:styles>
</file>

<file path=word/_rels/document.xml.rels><?xml version="1.0" encoding="UTF-8" standalone="yes"?><Relationships xmlns="http://schemas.openxmlformats.org/package/2006/relationships"><Relationship Id="rId11" Type="http://schemas.openxmlformats.org/officeDocument/2006/relationships/hyperlink" Target="mailto:mvalenzuela@urbangrupo.com" TargetMode="External"/><Relationship Id="rId10" Type="http://schemas.openxmlformats.org/officeDocument/2006/relationships/hyperlink" Target="mailto:fnunez@urbangrupo.com" TargetMode="External"/><Relationship Id="rId13" Type="http://schemas.openxmlformats.org/officeDocument/2006/relationships/hyperlink" Target="mailto:jvalenzuela@urbangrupo.com" TargetMode="External"/><Relationship Id="rId12" Type="http://schemas.openxmlformats.org/officeDocument/2006/relationships/hyperlink" Target="mailto:smartinez@urbangrupo.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news.samsung.com" TargetMode="External"/><Relationship Id="rId15" Type="http://schemas.openxmlformats.org/officeDocument/2006/relationships/footer" Target="footer1.xml"/><Relationship Id="rId14" Type="http://schemas.openxmlformats.org/officeDocument/2006/relationships/hyperlink" Target="mailto:mpuhlmann@urbangrupo.com" TargetMode="External"/><Relationship Id="rId17" Type="http://schemas.openxmlformats.org/officeDocument/2006/relationships/footer" Target="footer3.xml"/><Relationship Id="rId16"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amsung.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RTZPcjxTM1thb7KiRO4vS8t0Q==">CgMxLjAyDmguazNnNWliMzQxZzdiMg5oLmY0NHk3OGp4NTByazgAciExNlRLRjJLYXpLMmxsRS1nYmVIVUhIRWlqZWVJNkprU2U=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2025-12-16T15:18:00Z</dcterms:created>
  <dc:creator>Michelli Taborda (FleishmanHillard)</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1161e8fd,1f6204c1,4e43d4fe</vt:lpwstr>
  </property>
  <property fmtid="{D5CDD505-2E9C-101B-9397-08002B2CF9AE}" pid="3" name="ClassificationContentMarkingFooterFontProps">
    <vt:lpwstr>#000000,10,Calibri</vt:lpwstr>
  </property>
  <property fmtid="{D5CDD505-2E9C-101B-9397-08002B2CF9AE}" pid="4" name="ClassificationContentMarkingFooterText">
    <vt:lpwstr>Confidential - Not for Public Consumption or Distribution</vt:lpwstr>
  </property>
  <property fmtid="{D5CDD505-2E9C-101B-9397-08002B2CF9AE}" pid="5" name="MSIP_Label_8e19d756-792e-42a1-bcad-4cb9051ddd2d_Enabled">
    <vt:lpwstr>true</vt:lpwstr>
  </property>
  <property fmtid="{D5CDD505-2E9C-101B-9397-08002B2CF9AE}" pid="6" name="MSIP_Label_8e19d756-792e-42a1-bcad-4cb9051ddd2d_SetDate">
    <vt:lpwstr>2025-09-01T13:47:38Z</vt:lpwstr>
  </property>
  <property fmtid="{D5CDD505-2E9C-101B-9397-08002B2CF9AE}" pid="7" name="MSIP_Label_8e19d756-792e-42a1-bcad-4cb9051ddd2d_Method">
    <vt:lpwstr>Standard</vt:lpwstr>
  </property>
  <property fmtid="{D5CDD505-2E9C-101B-9397-08002B2CF9AE}" pid="8" name="MSIP_Label_8e19d756-792e-42a1-bcad-4cb9051ddd2d_Name">
    <vt:lpwstr>Confidential</vt:lpwstr>
  </property>
  <property fmtid="{D5CDD505-2E9C-101B-9397-08002B2CF9AE}" pid="9" name="MSIP_Label_8e19d756-792e-42a1-bcad-4cb9051ddd2d_SiteId">
    <vt:lpwstr>41eb501a-f671-4ce0-a5bf-b64168c3705f</vt:lpwstr>
  </property>
  <property fmtid="{D5CDD505-2E9C-101B-9397-08002B2CF9AE}" pid="10" name="MSIP_Label_8e19d756-792e-42a1-bcad-4cb9051ddd2d_ActionId">
    <vt:lpwstr>2f6900c4-7fb2-486d-99c1-b2bf4e31b432</vt:lpwstr>
  </property>
  <property fmtid="{D5CDD505-2E9C-101B-9397-08002B2CF9AE}" pid="11" name="MSIP_Label_8e19d756-792e-42a1-bcad-4cb9051ddd2d_ContentBits">
    <vt:lpwstr>2</vt:lpwstr>
  </property>
  <property fmtid="{D5CDD505-2E9C-101B-9397-08002B2CF9AE}" pid="12" name="MSIP_Label_8e19d756-792e-42a1-bcad-4cb9051ddd2d_Tag">
    <vt:lpwstr>10, 3, 0, 1</vt:lpwstr>
  </property>
</Properties>
</file>