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419"/>
          <w:tab w:val="right" w:leader="none" w:pos="8838"/>
        </w:tabs>
        <w:spacing w:after="0" w:line="240" w:lineRule="auto"/>
        <w:jc w:val="right"/>
        <w:rPr>
          <w:rFonts w:ascii="Arial" w:cs="Arial" w:eastAsia="Arial" w:hAnsi="Arial"/>
          <w:b w:val="1"/>
          <w:bCs w:val="1"/>
          <w:sz w:val="28"/>
          <w:szCs w:val="28"/>
        </w:rPr>
      </w:pPr>
      <w:r w:rsidDel="00000000" w:rsidR="00000000" w:rsidRPr="00000000">
        <w:rPr>
          <w:rFonts w:ascii="Calibri" w:cs="Calibri" w:eastAsia="Calibri" w:hAnsi="Calibri"/>
        </w:rPr>
        <w:drawing>
          <wp:inline distB="0" distT="0" distL="0" distR="0">
            <wp:extent cx="1657350" cy="260350"/>
            <wp:effectExtent b="0" l="0" r="0" t="0"/>
            <wp:docPr descr="https://lh7-us.googleusercontent.com/BdBI6OtfRh4PsgRm6RquRPWNr_c7D7QOEyizyLEpg7TtCbKsZLr3rBFGYg1v815XNXpQxWGD6e3GJyt8tL7AGnYpIfjvIKQaWTvEvdfe2Mp9fvk_SYXJ4SD2Fyyeut2OVqEIIhJBdyLSL6Mq8Wof8g" id="1313068358" name="image1.png"/>
            <a:graphic>
              <a:graphicData uri="http://schemas.openxmlformats.org/drawingml/2006/picture">
                <pic:pic>
                  <pic:nvPicPr>
                    <pic:cNvPr descr="https://lh7-us.googleusercontent.com/BdBI6OtfRh4PsgRm6RquRPWNr_c7D7QOEyizyLEpg7TtCbKsZLr3rBFGYg1v815XNXpQxWGD6e3GJyt8tL7AGnYpIfjvIKQaWTvEvdfe2Mp9fvk_SYXJ4SD2Fyyeut2OVqEIIhJBdyLSL6Mq8Wof8g" id="0" name="image1.png"/>
                    <pic:cNvPicPr preferRelativeResize="0"/>
                  </pic:nvPicPr>
                  <pic:blipFill>
                    <a:blip r:embed="rId7"/>
                    <a:srcRect b="0" l="0" r="0" t="0"/>
                    <a:stretch>
                      <a:fillRect/>
                    </a:stretch>
                  </pic:blipFill>
                  <pic:spPr>
                    <a:xfrm>
                      <a:off x="0" y="0"/>
                      <a:ext cx="1657350" cy="2603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3">
      <w:pPr>
        <w:pStyle w:val="Heading3"/>
        <w:keepNext w:val="0"/>
        <w:keepLines w:val="0"/>
        <w:pBdr>
          <w:top w:color="000000" w:space="0" w:sz="0" w:val="none"/>
          <w:left w:color="000000" w:space="0" w:sz="0" w:val="none"/>
          <w:bottom w:color="000000" w:space="0" w:sz="0" w:val="none"/>
          <w:right w:color="000000" w:space="0" w:sz="0" w:val="none"/>
          <w:between w:color="000000" w:space="0" w:sz="0" w:val="none"/>
        </w:pBdr>
        <w:spacing w:after="120" w:before="0" w:line="276" w:lineRule="auto"/>
        <w:jc w:val="center"/>
        <w:rPr>
          <w:rFonts w:ascii="Arial" w:cs="Arial" w:eastAsia="Arial" w:hAnsi="Arial"/>
          <w:b w:val="1"/>
          <w:bCs w:val="1"/>
          <w:color w:val="1b1c1d"/>
          <w:sz w:val="32"/>
          <w:szCs w:val="32"/>
        </w:rPr>
      </w:pPr>
      <w:bookmarkStart w:colFirst="0" w:colLast="0" w:name="_heading=h.k3g5ib341g7b" w:id="0"/>
      <w:bookmarkEnd w:id="0"/>
      <w:r w:rsidDel="00000000" w:rsidR="00000000" w:rsidRPr="00000000">
        <w:rPr>
          <w:rFonts w:ascii="Arial" w:cs="Arial" w:eastAsia="Arial" w:hAnsi="Arial"/>
          <w:b w:val="1"/>
          <w:bCs w:val="1"/>
          <w:color w:val="1b1c1d"/>
          <w:sz w:val="32"/>
          <w:szCs w:val="32"/>
          <w:rtl w:val="0"/>
        </w:rPr>
        <w:t xml:space="preserve">De la mano del Galaxy Z </w:t>
      </w:r>
      <w:r w:rsidDel="00000000" w:rsidR="00000000" w:rsidRPr="00000000">
        <w:rPr>
          <w:rFonts w:ascii="Arial" w:cs="Arial" w:eastAsia="Arial" w:hAnsi="Arial"/>
          <w:b w:val="1"/>
          <w:bCs w:val="1"/>
          <w:color w:val="1b1c1d"/>
          <w:sz w:val="32"/>
          <w:szCs w:val="32"/>
          <w:rtl w:val="0"/>
        </w:rPr>
        <w:t xml:space="preserve">Fold7</w:t>
      </w:r>
      <w:r w:rsidDel="00000000" w:rsidR="00000000" w:rsidRPr="00000000">
        <w:rPr>
          <w:rFonts w:ascii="Arial" w:cs="Arial" w:eastAsia="Arial" w:hAnsi="Arial"/>
          <w:b w:val="1"/>
          <w:bCs w:val="1"/>
          <w:color w:val="1b1c1d"/>
          <w:sz w:val="32"/>
          <w:szCs w:val="32"/>
          <w:rtl w:val="0"/>
        </w:rPr>
        <w:t xml:space="preserve">: Envíos mundiales de plegables marcan récord en Q3 2025</w:t>
      </w:r>
    </w:p>
    <w:p w:rsidR="00000000" w:rsidDel="00000000" w:rsidP="00000000" w:rsidRDefault="00000000" w:rsidRPr="00000000" w14:paraId="00000004">
      <w:pPr>
        <w:jc w:val="both"/>
        <w:rPr>
          <w:rFonts w:ascii="Arial" w:cs="Arial" w:eastAsia="Arial" w:hAnsi="Arial"/>
          <w:i w:val="1"/>
          <w:iCs w:val="1"/>
        </w:rPr>
      </w:pPr>
      <w:r w:rsidDel="00000000" w:rsidR="00000000" w:rsidRPr="00000000">
        <w:rPr>
          <w:rFonts w:ascii="Arial" w:cs="Arial" w:eastAsia="Arial" w:hAnsi="Arial"/>
          <w:i w:val="1"/>
          <w:iCs w:val="1"/>
          <w:rtl w:val="0"/>
        </w:rPr>
        <w:t xml:space="preserve">Según Counterpoint Research, la categoría cerraría 2025 con crecimiento de “dos dígitos medios” y entraría a una fase de expansión más marcada en 2026. </w:t>
      </w:r>
    </w:p>
    <w:p w:rsidR="00000000" w:rsidDel="00000000" w:rsidP="00000000" w:rsidRDefault="00000000" w:rsidRPr="00000000" w14:paraId="00000005">
      <w:pPr>
        <w:jc w:val="both"/>
        <w:rPr>
          <w:rFonts w:ascii="Arial" w:cs="Arial" w:eastAsia="Arial" w:hAnsi="Arial"/>
        </w:rPr>
      </w:pPr>
      <w:r w:rsidDel="00000000" w:rsidR="00000000" w:rsidRPr="00000000">
        <w:rPr>
          <w:rFonts w:ascii="Arial" w:cs="Arial" w:eastAsia="Arial" w:hAnsi="Arial"/>
          <w:b w:val="1"/>
          <w:bCs w:val="1"/>
          <w:rtl w:val="0"/>
        </w:rPr>
        <w:t xml:space="preserve">Diciembre de 2025.-</w:t>
      </w:r>
      <w:r w:rsidDel="00000000" w:rsidR="00000000" w:rsidRPr="00000000">
        <w:rPr>
          <w:rFonts w:ascii="Arial" w:cs="Arial" w:eastAsia="Arial" w:hAnsi="Arial"/>
          <w:rtl w:val="0"/>
        </w:rPr>
        <w:t xml:space="preserve">  </w:t>
      </w:r>
      <w:r w:rsidDel="00000000" w:rsidR="00000000" w:rsidRPr="00000000">
        <w:rPr>
          <w:rFonts w:ascii="Arial" w:cs="Arial" w:eastAsia="Arial" w:hAnsi="Arial"/>
          <w:rtl w:val="0"/>
        </w:rPr>
        <w:t xml:space="preserve">Según el Foldable Smartphone Market Tracker de Counterpoint Research, los envíos de smartphones plegables crecieron 14% interanual en Q3 2025, alcanzando su mayor volumen trimestral histórico, con el mayor impulso proveniente de la serie Galaxy Z Fold7 de Samsung. </w:t>
      </w:r>
    </w:p>
    <w:p w:rsidR="00000000" w:rsidDel="00000000" w:rsidP="00000000" w:rsidRDefault="00000000" w:rsidRPr="00000000" w14:paraId="00000006">
      <w:pPr>
        <w:jc w:val="both"/>
        <w:rPr>
          <w:rFonts w:ascii="Arial" w:cs="Arial" w:eastAsia="Arial" w:hAnsi="Arial"/>
        </w:rPr>
      </w:pPr>
      <w:r w:rsidDel="00000000" w:rsidR="00000000" w:rsidRPr="00000000">
        <w:rPr>
          <w:rFonts w:ascii="Arial" w:cs="Arial" w:eastAsia="Arial" w:hAnsi="Arial"/>
          <w:rtl w:val="0"/>
        </w:rPr>
        <w:t xml:space="preserve">De acuerdo con la compañía, la categoría cerraría 2025 con crecimiento de “dos dígitos medios” y entraría a una fase de expansión más marcada en 2026. </w:t>
      </w:r>
    </w:p>
    <w:p w:rsidR="00000000" w:rsidDel="00000000" w:rsidP="00000000" w:rsidRDefault="00000000" w:rsidRPr="00000000" w14:paraId="00000007">
      <w:pPr>
        <w:jc w:val="both"/>
        <w:rPr>
          <w:rFonts w:ascii="Arial" w:cs="Arial" w:eastAsia="Arial" w:hAnsi="Arial"/>
        </w:rPr>
      </w:pPr>
      <w:r w:rsidDel="00000000" w:rsidR="00000000" w:rsidRPr="00000000">
        <w:rPr>
          <w:rFonts w:ascii="Arial" w:cs="Arial" w:eastAsia="Arial" w:hAnsi="Arial"/>
          <w:rtl w:val="0"/>
        </w:rPr>
        <w:t xml:space="preserve">En Q3 2025 superaron su propio techo y alcanzaron 2,5% de participación dentro de los envíos globales, con los modelos tipo libro liderando la expansión y el Galaxy Z Fold7 como protagonista del ciclo, gracias a su chasis más delgado y liviano, mejoras de bisagra y menor visibilidad del pliegue. </w:t>
      </w:r>
    </w:p>
    <w:p w:rsidR="00000000" w:rsidDel="00000000" w:rsidP="00000000" w:rsidRDefault="00000000" w:rsidRPr="00000000" w14:paraId="00000008">
      <w:pPr>
        <w:jc w:val="both"/>
        <w:rPr>
          <w:rFonts w:ascii="Arial" w:cs="Arial" w:eastAsia="Arial" w:hAnsi="Arial"/>
          <w:b w:val="1"/>
          <w:bCs w:val="1"/>
        </w:rPr>
      </w:pPr>
      <w:r w:rsidDel="00000000" w:rsidR="00000000" w:rsidRPr="00000000">
        <w:rPr>
          <w:rFonts w:ascii="Arial" w:cs="Arial" w:eastAsia="Arial" w:hAnsi="Arial"/>
          <w:b w:val="1"/>
          <w:bCs w:val="1"/>
          <w:rtl w:val="0"/>
        </w:rPr>
        <w:t xml:space="preserve">Un trimestre récord, con el Z Fold7 al centro</w:t>
      </w:r>
    </w:p>
    <w:p w:rsidR="00000000" w:rsidDel="00000000" w:rsidP="00000000" w:rsidRDefault="00000000" w:rsidRPr="00000000" w14:paraId="00000009">
      <w:pPr>
        <w:jc w:val="both"/>
        <w:rPr>
          <w:rFonts w:ascii="Arial" w:cs="Arial" w:eastAsia="Arial" w:hAnsi="Arial"/>
          <w:b w:val="1"/>
          <w:bCs w:val="1"/>
        </w:rPr>
      </w:pPr>
      <w:r w:rsidDel="00000000" w:rsidR="00000000" w:rsidRPr="00000000">
        <w:rPr>
          <w:rFonts w:ascii="Arial" w:cs="Arial" w:eastAsia="Arial" w:hAnsi="Arial"/>
          <w:rtl w:val="0"/>
        </w:rPr>
        <w:t xml:space="preserve">Dentro de ese avance, los book-type (formato tipo libro) llevaron la delantera, empujados por el lanzamiento del Galaxy Z Fold7, aunque los clamshell también subieron con renovaciones de portafolio. </w:t>
      </w:r>
      <w:r w:rsidDel="00000000" w:rsidR="00000000" w:rsidRPr="00000000">
        <w:rPr>
          <w:rtl w:val="0"/>
        </w:rPr>
      </w:r>
    </w:p>
    <w:p w:rsidR="00000000" w:rsidDel="00000000" w:rsidP="00000000" w:rsidRDefault="00000000" w:rsidRPr="00000000" w14:paraId="0000000A">
      <w:pPr>
        <w:jc w:val="both"/>
        <w:rPr>
          <w:rFonts w:ascii="Arial" w:cs="Arial" w:eastAsia="Arial" w:hAnsi="Arial"/>
        </w:rPr>
      </w:pPr>
      <w:r w:rsidDel="00000000" w:rsidR="00000000" w:rsidRPr="00000000">
        <w:rPr>
          <w:rFonts w:ascii="Arial" w:cs="Arial" w:eastAsia="Arial" w:hAnsi="Arial"/>
          <w:rtl w:val="0"/>
        </w:rPr>
        <w:t xml:space="preserve">El informe destacó que el Z Fold7 amplió su atractivo premium al combinar menor grosor y peso, bisagra más durable y pliegue menos visible, atributos que mejoraron la usabilidad diaria y la percepción de calidad, y que se tradujeron en un uplift mayor al esperado dentro del trimestre. </w:t>
      </w:r>
    </w:p>
    <w:p w:rsidR="00000000" w:rsidDel="00000000" w:rsidP="00000000" w:rsidRDefault="00000000" w:rsidRPr="00000000" w14:paraId="0000000B">
      <w:pPr>
        <w:jc w:val="both"/>
        <w:rPr>
          <w:rFonts w:ascii="Arial" w:cs="Arial" w:eastAsia="Arial" w:hAnsi="Arial"/>
        </w:rPr>
      </w:pPr>
      <w:r w:rsidDel="00000000" w:rsidR="00000000" w:rsidRPr="00000000">
        <w:rPr>
          <w:rFonts w:ascii="Arial" w:cs="Arial" w:eastAsia="Arial" w:hAnsi="Arial"/>
          <w:rtl w:val="0"/>
        </w:rPr>
        <w:t xml:space="preserve">Para 2025, la consultora proyecta un cierre con crecimiento anual de “dos dígitos medios” y un aceleramiento en 2026 a medida que el hardware mejora y nuevas experiencias de IA se expanden.</w:t>
      </w:r>
    </w:p>
    <w:p w:rsidR="00000000" w:rsidDel="00000000" w:rsidP="00000000" w:rsidRDefault="00000000" w:rsidRPr="00000000" w14:paraId="0000000C">
      <w:pPr>
        <w:jc w:val="both"/>
        <w:rPr>
          <w:rFonts w:ascii="Arial" w:cs="Arial" w:eastAsia="Arial" w:hAnsi="Arial"/>
          <w:b w:val="1"/>
          <w:bCs w:val="1"/>
        </w:rPr>
      </w:pPr>
      <w:r w:rsidDel="00000000" w:rsidR="00000000" w:rsidRPr="00000000">
        <w:rPr>
          <w:rFonts w:ascii="Arial" w:cs="Arial" w:eastAsia="Arial" w:hAnsi="Arial"/>
          <w:b w:val="1"/>
          <w:bCs w:val="1"/>
          <w:rtl w:val="0"/>
        </w:rPr>
        <w:t xml:space="preserve">El factor “TriFold”</w:t>
      </w:r>
    </w:p>
    <w:p w:rsidR="00000000" w:rsidDel="00000000" w:rsidP="00000000" w:rsidRDefault="00000000" w:rsidRPr="00000000" w14:paraId="0000000D">
      <w:pPr>
        <w:jc w:val="both"/>
        <w:rPr>
          <w:rFonts w:ascii="Arial" w:cs="Arial" w:eastAsia="Arial" w:hAnsi="Arial"/>
        </w:rPr>
      </w:pPr>
      <w:r w:rsidDel="00000000" w:rsidR="00000000" w:rsidRPr="00000000">
        <w:rPr>
          <w:rFonts w:ascii="Arial" w:cs="Arial" w:eastAsia="Arial" w:hAnsi="Arial"/>
          <w:rtl w:val="0"/>
        </w:rPr>
        <w:t xml:space="preserve">En ese contexto, el Samsung Galaxy Z TriFold aparece como un piloto estratégico para reforzar liderazgo tecnológico, validar arquitectura de bisagra y la optimización de software antes de escalar. Su objetivo no es el volumen inmediato sino preparar la siguiente ola de adopción.</w:t>
      </w:r>
    </w:p>
    <w:p w:rsidR="00000000" w:rsidDel="00000000" w:rsidP="00000000" w:rsidRDefault="00000000" w:rsidRPr="00000000" w14:paraId="0000000E">
      <w:pPr>
        <w:jc w:val="both"/>
        <w:rPr>
          <w:rFonts w:ascii="Arial" w:cs="Arial" w:eastAsia="Arial" w:hAnsi="Arial"/>
        </w:rPr>
      </w:pPr>
      <w:r w:rsidDel="00000000" w:rsidR="00000000" w:rsidRPr="00000000">
        <w:rPr>
          <w:rFonts w:ascii="Arial" w:cs="Arial" w:eastAsia="Arial" w:hAnsi="Arial"/>
          <w:rtl w:val="0"/>
        </w:rPr>
        <w:t xml:space="preserve">Counterpoint anticipó que en 2026 el mercado entrará en una fase de expansión más pronunciada por mejoras de durabilidad, reducciones de espesor y peso, optimización de bisagras y paneles, y mayor integración de experiencias de software con IA. </w:t>
      </w:r>
    </w:p>
    <w:p w:rsidR="00000000" w:rsidDel="00000000" w:rsidP="00000000" w:rsidRDefault="00000000" w:rsidRPr="00000000" w14:paraId="0000000F">
      <w:pPr>
        <w:jc w:val="both"/>
        <w:rPr>
          <w:rFonts w:ascii="Arial" w:cs="Arial" w:eastAsia="Arial" w:hAnsi="Arial"/>
        </w:rPr>
      </w:pPr>
      <w:r w:rsidDel="00000000" w:rsidR="00000000" w:rsidRPr="00000000">
        <w:rPr>
          <w:rtl w:val="0"/>
        </w:rPr>
      </w:r>
    </w:p>
    <w:p w:rsidR="00000000" w:rsidDel="00000000" w:rsidP="00000000" w:rsidRDefault="00000000" w:rsidRPr="00000000" w14:paraId="00000010">
      <w:pPr>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Acerca de Samsung Electronics Co., Ltd.</w:t>
      </w:r>
    </w:p>
    <w:p w:rsidR="00000000" w:rsidDel="00000000" w:rsidP="00000000" w:rsidRDefault="00000000" w:rsidRPr="00000000" w14:paraId="0000001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8">
        <w:r w:rsidDel="00000000" w:rsidR="00000000" w:rsidRPr="00000000">
          <w:rPr>
            <w:rFonts w:ascii="Arial" w:cs="Arial" w:eastAsia="Arial" w:hAnsi="Arial"/>
            <w:color w:val="467886"/>
            <w:sz w:val="20"/>
            <w:szCs w:val="20"/>
            <w:u w:val="single"/>
            <w:rtl w:val="0"/>
          </w:rPr>
          <w:t xml:space="preserve">news.samsung.com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2">
      <w:pPr>
        <w:spacing w:after="240" w:befor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hd w:fill="ffffff" w:val="clear"/>
        <w:spacing w:after="0" w:line="240" w:lineRule="auto"/>
        <w:jc w:val="both"/>
        <w:rPr>
          <w:rFonts w:ascii="Arial" w:cs="Arial" w:eastAsia="Arial" w:hAnsi="Arial"/>
          <w:color w:val="1155cc"/>
          <w:sz w:val="18"/>
          <w:szCs w:val="18"/>
        </w:rPr>
      </w:pPr>
      <w:r w:rsidDel="00000000" w:rsidR="00000000" w:rsidRPr="00000000">
        <w:rPr>
          <w:rFonts w:ascii="Arial" w:cs="Arial" w:eastAsia="Arial" w:hAnsi="Arial"/>
          <w:b w:val="1"/>
          <w:bCs w:val="1"/>
          <w:sz w:val="18"/>
          <w:szCs w:val="18"/>
          <w:u w:val="single"/>
          <w:rtl w:val="0"/>
        </w:rPr>
        <w:t xml:space="preserve">Contacto de prensa:</w:t>
      </w:r>
      <w:r w:rsidDel="00000000" w:rsidR="00000000" w:rsidRPr="00000000">
        <w:rPr>
          <w:rFonts w:ascii="Arial" w:cs="Arial" w:eastAsia="Arial" w:hAnsi="Arial"/>
          <w:b w:val="1"/>
          <w:bCs w:val="1"/>
          <w:sz w:val="18"/>
          <w:szCs w:val="18"/>
          <w:rtl w:val="0"/>
        </w:rPr>
        <w:br w:type="textWrapping"/>
        <w:t xml:space="preserve">Ejecutivo de cuentas:</w:t>
      </w:r>
      <w:r w:rsidDel="00000000" w:rsidR="00000000" w:rsidRPr="00000000">
        <w:rPr>
          <w:rFonts w:ascii="Arial" w:cs="Arial" w:eastAsia="Arial" w:hAnsi="Arial"/>
          <w:sz w:val="18"/>
          <w:szCs w:val="18"/>
          <w:rtl w:val="0"/>
        </w:rPr>
        <w:t xml:space="preserve"> Francisco Núñez | +56 9 72110131 </w:t>
      </w:r>
      <w:r w:rsidDel="00000000" w:rsidR="00000000" w:rsidRPr="00000000">
        <w:rPr>
          <w:rFonts w:ascii="Arial" w:cs="Arial" w:eastAsia="Arial" w:hAnsi="Arial"/>
          <w:color w:val="1155cc"/>
          <w:sz w:val="18"/>
          <w:szCs w:val="18"/>
          <w:rtl w:val="0"/>
        </w:rPr>
        <w:t xml:space="preserve">| </w:t>
      </w:r>
      <w:hyperlink r:id="rId9">
        <w:r w:rsidDel="00000000" w:rsidR="00000000" w:rsidRPr="00000000">
          <w:rPr>
            <w:rFonts w:ascii="Arial" w:cs="Arial" w:eastAsia="Arial" w:hAnsi="Arial"/>
            <w:color w:val="1155cc"/>
            <w:sz w:val="18"/>
            <w:szCs w:val="18"/>
            <w:u w:val="single"/>
            <w:rtl w:val="0"/>
          </w:rPr>
          <w:t xml:space="preserve">fnunez@urbangrupo.com</w:t>
        </w:r>
      </w:hyperlink>
      <w:r w:rsidDel="00000000" w:rsidR="00000000" w:rsidRPr="00000000">
        <w:rPr>
          <w:rFonts w:ascii="Arial" w:cs="Arial" w:eastAsia="Arial" w:hAnsi="Arial"/>
          <w:color w:val="1155cc"/>
          <w:sz w:val="18"/>
          <w:szCs w:val="18"/>
          <w:rtl w:val="0"/>
        </w:rPr>
        <w:t xml:space="preserve"> </w:t>
      </w:r>
    </w:p>
    <w:p w:rsidR="00000000" w:rsidDel="00000000" w:rsidP="00000000" w:rsidRDefault="00000000" w:rsidRPr="00000000" w14:paraId="00000014">
      <w:pPr>
        <w:shd w:fill="ffffff" w:val="clear"/>
        <w:spacing w:after="0" w:line="240" w:lineRule="auto"/>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Ejecutiva de cuentas:</w:t>
      </w:r>
      <w:r w:rsidDel="00000000" w:rsidR="00000000" w:rsidRPr="00000000">
        <w:rPr>
          <w:rFonts w:ascii="Arial" w:cs="Arial" w:eastAsia="Arial" w:hAnsi="Arial"/>
          <w:sz w:val="18"/>
          <w:szCs w:val="18"/>
          <w:rtl w:val="0"/>
        </w:rPr>
        <w:t xml:space="preserve"> Monse Valenzuela | +569 9770 2251 | </w:t>
      </w:r>
      <w:hyperlink r:id="rId10">
        <w:r w:rsidDel="00000000" w:rsidR="00000000" w:rsidRPr="00000000">
          <w:rPr>
            <w:rFonts w:ascii="Arial" w:cs="Arial" w:eastAsia="Arial" w:hAnsi="Arial"/>
            <w:color w:val="1155cc"/>
            <w:sz w:val="18"/>
            <w:szCs w:val="18"/>
            <w:u w:val="single"/>
            <w:rtl w:val="0"/>
          </w:rPr>
          <w:t xml:space="preserve">mvalenzuela@urbangrupo.com</w:t>
        </w:r>
      </w:hyperlink>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015">
      <w:pPr>
        <w:shd w:fill="ffffff" w:val="clear"/>
        <w:spacing w:after="0" w:line="240" w:lineRule="auto"/>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Coordinador de cuentas</w:t>
      </w:r>
      <w:r w:rsidDel="00000000" w:rsidR="00000000" w:rsidRPr="00000000">
        <w:rPr>
          <w:rFonts w:ascii="Arial" w:cs="Arial" w:eastAsia="Arial" w:hAnsi="Arial"/>
          <w:sz w:val="18"/>
          <w:szCs w:val="18"/>
          <w:rtl w:val="0"/>
        </w:rPr>
        <w:t xml:space="preserve">: Sebastián Martínez | +56 9 9343 9513 | </w:t>
      </w:r>
      <w:hyperlink r:id="rId11">
        <w:r w:rsidDel="00000000" w:rsidR="00000000" w:rsidRPr="00000000">
          <w:rPr>
            <w:rFonts w:ascii="Arial" w:cs="Arial" w:eastAsia="Arial" w:hAnsi="Arial"/>
            <w:color w:val="1155cc"/>
            <w:sz w:val="18"/>
            <w:szCs w:val="18"/>
            <w:u w:val="single"/>
            <w:rtl w:val="0"/>
          </w:rPr>
          <w:t xml:space="preserve">smartinez@urbangrupo.com</w:t>
        </w:r>
      </w:hyperlink>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016">
      <w:pPr>
        <w:shd w:fill="ffffff" w:val="clear"/>
        <w:spacing w:after="0" w:line="240"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8"/>
          <w:szCs w:val="18"/>
          <w:rtl w:val="0"/>
        </w:rPr>
        <w:t xml:space="preserve">Coordinador de cuentas: </w:t>
      </w:r>
      <w:r w:rsidDel="00000000" w:rsidR="00000000" w:rsidRPr="00000000">
        <w:rPr>
          <w:rFonts w:ascii="Arial" w:cs="Arial" w:eastAsia="Arial" w:hAnsi="Arial"/>
          <w:sz w:val="18"/>
          <w:szCs w:val="18"/>
          <w:rtl w:val="0"/>
        </w:rPr>
        <w:t xml:space="preserve">Jonathan Valenzuela | +56 9 6169 9893 |</w:t>
      </w:r>
      <w:r w:rsidDel="00000000" w:rsidR="00000000" w:rsidRPr="00000000">
        <w:rPr>
          <w:rFonts w:ascii="Arial" w:cs="Arial" w:eastAsia="Arial" w:hAnsi="Arial"/>
          <w:b w:val="1"/>
          <w:bCs w:val="1"/>
          <w:sz w:val="18"/>
          <w:szCs w:val="18"/>
          <w:rtl w:val="0"/>
        </w:rPr>
        <w:t xml:space="preserve"> </w:t>
      </w:r>
      <w:hyperlink r:id="rId12">
        <w:r w:rsidDel="00000000" w:rsidR="00000000" w:rsidRPr="00000000">
          <w:rPr>
            <w:rFonts w:ascii="Arial" w:cs="Arial" w:eastAsia="Arial" w:hAnsi="Arial"/>
            <w:color w:val="1155cc"/>
            <w:sz w:val="18"/>
            <w:szCs w:val="18"/>
            <w:u w:val="single"/>
            <w:rtl w:val="0"/>
          </w:rPr>
          <w:t xml:space="preserve">jvalenzuela@urbangrupo.com</w:t>
        </w:r>
      </w:hyperlink>
      <w:r w:rsidDel="00000000" w:rsidR="00000000" w:rsidRPr="00000000">
        <w:rPr>
          <w:rtl w:val="0"/>
        </w:rPr>
      </w:r>
    </w:p>
    <w:p w:rsidR="00000000" w:rsidDel="00000000" w:rsidP="00000000" w:rsidRDefault="00000000" w:rsidRPr="00000000" w14:paraId="00000017">
      <w:pPr>
        <w:shd w:fill="ffffff" w:val="clear"/>
        <w:spacing w:after="0" w:line="240" w:lineRule="auto"/>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Directora:</w:t>
      </w:r>
      <w:r w:rsidDel="00000000" w:rsidR="00000000" w:rsidRPr="00000000">
        <w:rPr>
          <w:rFonts w:ascii="Arial" w:cs="Arial" w:eastAsia="Arial" w:hAnsi="Arial"/>
          <w:sz w:val="18"/>
          <w:szCs w:val="18"/>
          <w:rtl w:val="0"/>
        </w:rPr>
        <w:t xml:space="preserve"> María José Puhlmann | +56 9 4434 6814 | </w:t>
      </w:r>
      <w:hyperlink r:id="rId13">
        <w:r w:rsidDel="00000000" w:rsidR="00000000" w:rsidRPr="00000000">
          <w:rPr>
            <w:rFonts w:ascii="Arial" w:cs="Arial" w:eastAsia="Arial" w:hAnsi="Arial"/>
            <w:color w:val="1155cc"/>
            <w:sz w:val="18"/>
            <w:szCs w:val="18"/>
            <w:u w:val="single"/>
            <w:rtl w:val="0"/>
          </w:rPr>
          <w:t xml:space="preserve">mpuhlmann@urbangrupo.com</w:t>
        </w:r>
      </w:hyperlink>
      <w:r w:rsidDel="00000000" w:rsidR="00000000" w:rsidRPr="00000000">
        <w:rPr>
          <w:rtl w:val="0"/>
        </w:rPr>
      </w:r>
    </w:p>
    <w:p w:rsidR="00000000" w:rsidDel="00000000" w:rsidP="00000000" w:rsidRDefault="00000000" w:rsidRPr="00000000" w14:paraId="00000018">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9">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jc w:val="both"/>
        <w:rPr>
          <w:rFonts w:ascii="Arial" w:cs="Arial" w:eastAsia="Arial" w:hAnsi="Arial"/>
          <w:sz w:val="20"/>
          <w:szCs w:val="20"/>
        </w:rPr>
      </w:pPr>
      <w:r w:rsidDel="00000000" w:rsidR="00000000" w:rsidRPr="00000000">
        <w:rPr>
          <w:rtl w:val="0"/>
        </w:rPr>
      </w:r>
    </w:p>
    <w:sectPr>
      <w:footerReference r:id="rId14" w:type="default"/>
      <w:footerReference r:id="rId15" w:type="first"/>
      <w:footerReference r:id="rId16" w:type="even"/>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43179</wp:posOffset>
              </wp:positionH>
              <wp:positionV relativeFrom="paragraph">
                <wp:posOffset>-114258</wp:posOffset>
              </wp:positionV>
              <wp:extent cx="3153410" cy="586105"/>
              <wp:effectExtent b="0" l="0" r="0" t="0"/>
              <wp:wrapNone/>
              <wp:docPr descr="Confidential - Not for Public Consumption or Distribution" id="1313068357" name=""/>
              <a:graphic>
                <a:graphicData uri="http://schemas.microsoft.com/office/word/2010/wordprocessingShape">
                  <wps:wsp>
                    <wps:cNvSpPr/>
                    <wps:cNvPr id="3" name="Shape 3"/>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43179</wp:posOffset>
              </wp:positionH>
              <wp:positionV relativeFrom="paragraph">
                <wp:posOffset>-114258</wp:posOffset>
              </wp:positionV>
              <wp:extent cx="3153410" cy="586105"/>
              <wp:effectExtent b="0" l="0" r="0" t="0"/>
              <wp:wrapNone/>
              <wp:docPr descr="Confidential - Not for Public Consumption or Distribution" id="1313068357" name="image3.png"/>
              <a:graphic>
                <a:graphicData uri="http://schemas.openxmlformats.org/drawingml/2006/picture">
                  <pic:pic>
                    <pic:nvPicPr>
                      <pic:cNvPr descr="Confidential - Not for Public Consumption or Distribution" id="0" name="image3.png"/>
                      <pic:cNvPicPr preferRelativeResize="0"/>
                    </pic:nvPicPr>
                    <pic:blipFill>
                      <a:blip r:embed="rId1"/>
                      <a:srcRect/>
                      <a:stretch>
                        <a:fillRect/>
                      </a:stretch>
                    </pic:blipFill>
                    <pic:spPr>
                      <a:xfrm>
                        <a:off x="0" y="0"/>
                        <a:ext cx="3153410" cy="58610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43179</wp:posOffset>
              </wp:positionH>
              <wp:positionV relativeFrom="paragraph">
                <wp:posOffset>-114258</wp:posOffset>
              </wp:positionV>
              <wp:extent cx="3153410" cy="586105"/>
              <wp:effectExtent b="0" l="0" r="0" t="0"/>
              <wp:wrapNone/>
              <wp:docPr descr="Confidential - Not for Public Consumption or Distribution" id="1313068356" name=""/>
              <a:graphic>
                <a:graphicData uri="http://schemas.microsoft.com/office/word/2010/wordprocessingShape">
                  <wps:wsp>
                    <wps:cNvSpPr/>
                    <wps:cNvPr id="2" name="Shape 2"/>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43179</wp:posOffset>
              </wp:positionH>
              <wp:positionV relativeFrom="paragraph">
                <wp:posOffset>-114258</wp:posOffset>
              </wp:positionV>
              <wp:extent cx="3153410" cy="586105"/>
              <wp:effectExtent b="0" l="0" r="0" t="0"/>
              <wp:wrapNone/>
              <wp:docPr descr="Confidential - Not for Public Consumption or Distribution" id="1313068356" name="image2.png"/>
              <a:graphic>
                <a:graphicData uri="http://schemas.openxmlformats.org/drawingml/2006/picture">
                  <pic:pic>
                    <pic:nvPicPr>
                      <pic:cNvPr descr="Confidential - Not for Public Consumption or Distribution" id="0" name="image2.png"/>
                      <pic:cNvPicPr preferRelativeResize="0"/>
                    </pic:nvPicPr>
                    <pic:blipFill>
                      <a:blip r:embed="rId1"/>
                      <a:srcRect/>
                      <a:stretch>
                        <a:fillRect/>
                      </a:stretch>
                    </pic:blipFill>
                    <pic:spPr>
                      <a:xfrm>
                        <a:off x="0" y="0"/>
                        <a:ext cx="3153410" cy="58610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L"/>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link w:val="Heading7Char"/>
    <w:uiPriority w:val="9"/>
    <w:semiHidden w:val="1"/>
    <w:unhideWhenUsed w:val="1"/>
    <w:qFormat w:val="1"/>
    <w:rsid w:val="00C81946"/>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C81946"/>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81946"/>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TableNormal4" w:customStyle="1">
    <w:name w:val="TableNormal"/>
    <w:tblPr>
      <w:tblCellMar>
        <w:top w:w="100.0" w:type="dxa"/>
        <w:left w:w="100.0" w:type="dxa"/>
        <w:bottom w:w="100.0" w:type="dxa"/>
        <w:right w:w="100.0" w:type="dxa"/>
      </w:tblCellMar>
    </w:tblPr>
  </w:style>
  <w:style w:type="table" w:styleId="TableNormal5" w:customStyle="1">
    <w:name w:val="TableNormal"/>
    <w:tblPr>
      <w:tblCellMar>
        <w:top w:w="100.0" w:type="dxa"/>
        <w:left w:w="100.0" w:type="dxa"/>
        <w:bottom w:w="100.0" w:type="dxa"/>
        <w:right w:w="100.0" w:type="dxa"/>
      </w:tblCellMar>
    </w:tblPr>
  </w:style>
  <w:style w:type="table" w:styleId="TableNormal6" w:customStyle="1">
    <w:name w:val="TableNormal"/>
    <w:tblPr>
      <w:tblCellMar>
        <w:top w:w="100.0" w:type="dxa"/>
        <w:left w:w="100.0" w:type="dxa"/>
        <w:bottom w:w="100.0" w:type="dxa"/>
        <w:right w:w="100.0" w:type="dxa"/>
      </w:tblCellMar>
    </w:tblPr>
  </w:style>
  <w:style w:type="table" w:styleId="TableNormal7" w:customStyle="1">
    <w:name w:val="TableNormal"/>
    <w:tblPr>
      <w:tblCellMar>
        <w:top w:w="100.0" w:type="dxa"/>
        <w:left w:w="100.0" w:type="dxa"/>
        <w:bottom w:w="100.0" w:type="dxa"/>
        <w:right w:w="100.0" w:type="dxa"/>
      </w:tblCellMar>
    </w:tblPr>
  </w:style>
  <w:style w:type="table" w:styleId="TableNormal8" w:customStyle="1">
    <w:name w:val="TableNormal"/>
    <w:tblPr>
      <w:tblCellMar>
        <w:top w:w="100.0" w:type="dxa"/>
        <w:left w:w="100.0" w:type="dxa"/>
        <w:bottom w:w="100.0" w:type="dxa"/>
        <w:right w:w="100.0" w:type="dxa"/>
      </w:tblCellMar>
    </w:tblPr>
  </w:style>
  <w:style w:type="table" w:styleId="TableNormal9" w:customStyle="1">
    <w:name w:val="TableNormal"/>
    <w:tblPr>
      <w:tblCellMar>
        <w:top w:w="100.0" w:type="dxa"/>
        <w:left w:w="100.0" w:type="dxa"/>
        <w:bottom w:w="100.0" w:type="dxa"/>
        <w:right w:w="100.0" w:type="dxa"/>
      </w:tblCellMar>
    </w:tblPr>
  </w:style>
  <w:style w:type="table" w:styleId="TableNormala" w:customStyle="1">
    <w:name w:val="TableNormal"/>
    <w:tblPr>
      <w:tblCellMar>
        <w:top w:w="100.0" w:type="dxa"/>
        <w:left w:w="100.0" w:type="dxa"/>
        <w:bottom w:w="100.0" w:type="dxa"/>
        <w:right w:w="100.0" w:type="dxa"/>
      </w:tblCellMar>
    </w:tblPr>
  </w:style>
  <w:style w:type="table" w:styleId="TableNormalb" w:customStyle="1">
    <w:name w:val="TableNormal"/>
    <w:tblPr>
      <w:tblCellMar>
        <w:top w:w="100.0" w:type="dxa"/>
        <w:left w:w="100.0" w:type="dxa"/>
        <w:bottom w:w="100.0" w:type="dxa"/>
        <w:right w:w="100.0" w:type="dxa"/>
      </w:tblCellMar>
    </w:tblPr>
  </w:style>
  <w:style w:type="table" w:styleId="TableNormalc" w:customStyle="1">
    <w:name w:val="TableNormal"/>
    <w:tblPr>
      <w:tblCellMar>
        <w:top w:w="100.0" w:type="dxa"/>
        <w:left w:w="100.0" w:type="dxa"/>
        <w:bottom w:w="100.0" w:type="dxa"/>
        <w:right w:w="100.0" w:type="dxa"/>
      </w:tblCellMar>
    </w:tblPr>
  </w:style>
  <w:style w:type="table" w:styleId="TableNormald" w:customStyle="1">
    <w:name w:val="TableNormal"/>
    <w:tblPr>
      <w:tblCellMar>
        <w:top w:w="100.0" w:type="dxa"/>
        <w:left w:w="100.0" w:type="dxa"/>
        <w:bottom w:w="100.0" w:type="dxa"/>
        <w:right w:w="100.0" w:type="dxa"/>
      </w:tblCellMar>
    </w:tblPr>
  </w:style>
  <w:style w:type="table" w:styleId="TableNormale" w:customStyle="1">
    <w:name w:val="TableNormal"/>
    <w:tblPr>
      <w:tblCellMar>
        <w:top w:w="100.0" w:type="dxa"/>
        <w:left w:w="100.0" w:type="dxa"/>
        <w:bottom w:w="100.0" w:type="dxa"/>
        <w:right w:w="100.0" w:type="dxa"/>
      </w:tblCellMar>
    </w:tblPr>
  </w:style>
  <w:style w:type="table" w:styleId="TableNormalf" w:customStyle="1">
    <w:name w:val="TableNormal"/>
    <w:tblPr>
      <w:tblCellMar>
        <w:top w:w="100.0" w:type="dxa"/>
        <w:left w:w="100.0" w:type="dxa"/>
        <w:bottom w:w="100.0" w:type="dxa"/>
        <w:right w:w="100.0" w:type="dxa"/>
      </w:tblCellMar>
    </w:tblPr>
  </w:style>
  <w:style w:type="table" w:styleId="TableNormalf0" w:customStyle="1">
    <w:name w:val="TableNormal"/>
    <w:tblPr>
      <w:tblCellMar>
        <w:top w:w="100.0" w:type="dxa"/>
        <w:left w:w="100.0" w:type="dxa"/>
        <w:bottom w:w="100.0" w:type="dxa"/>
        <w:right w:w="100.0" w:type="dxa"/>
      </w:tblCellMar>
    </w:tblPr>
  </w:style>
  <w:style w:type="table" w:styleId="TableNormalf1" w:customStyle="1">
    <w:name w:val="TableNormal"/>
    <w:tblPr>
      <w:tblCellMar>
        <w:top w:w="100.0" w:type="dxa"/>
        <w:left w:w="100.0" w:type="dxa"/>
        <w:bottom w:w="100.0" w:type="dxa"/>
        <w:right w:w="100.0" w:type="dxa"/>
      </w:tblCellMar>
    </w:tblPr>
  </w:style>
  <w:style w:type="table" w:styleId="TableNormalf2" w:customStyle="1">
    <w:name w:val="TableNormal"/>
    <w:tblPr>
      <w:tblCellMar>
        <w:top w:w="100.0" w:type="dxa"/>
        <w:left w:w="100.0" w:type="dxa"/>
        <w:bottom w:w="100.0" w:type="dxa"/>
        <w:right w:w="100.0" w:type="dxa"/>
      </w:tblCellMar>
    </w:tblPr>
  </w:style>
  <w:style w:type="table" w:styleId="TableNormalf3" w:customStyle="1">
    <w:name w:val="TableNormal"/>
    <w:tblPr>
      <w:tblCellMar>
        <w:top w:w="100.0" w:type="dxa"/>
        <w:left w:w="100.0" w:type="dxa"/>
        <w:bottom w:w="100.0" w:type="dxa"/>
        <w:right w:w="100.0" w:type="dxa"/>
      </w:tblCellMar>
    </w:tblPr>
  </w:style>
  <w:style w:type="table" w:styleId="TableNormalf4" w:customStyle="1">
    <w:name w:val="TableNormal"/>
    <w:tblPr>
      <w:tblCellMar>
        <w:top w:w="100.0" w:type="dxa"/>
        <w:left w:w="100.0" w:type="dxa"/>
        <w:bottom w:w="100.0" w:type="dxa"/>
        <w:right w:w="100.0" w:type="dxa"/>
      </w:tblCellMar>
    </w:tblPr>
  </w:style>
  <w:style w:type="table" w:styleId="TableNormalf5" w:customStyle="1">
    <w:name w:val="TableNormal"/>
    <w:tblPr>
      <w:tblCellMar>
        <w:top w:w="100.0" w:type="dxa"/>
        <w:left w:w="100.0" w:type="dxa"/>
        <w:bottom w:w="100.0" w:type="dxa"/>
        <w:right w:w="100.0" w:type="dxa"/>
      </w:tblCellMar>
    </w:tblPr>
  </w:style>
  <w:style w:type="character" w:styleId="Heading1Char" w:customStyle="1">
    <w:name w:val="Heading 1 Char"/>
    <w:basedOn w:val="DefaultParagraphFont"/>
    <w:link w:val="Heading1"/>
    <w:uiPriority w:val="9"/>
    <w:rsid w:val="00C81946"/>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C81946"/>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C81946"/>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C81946"/>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C81946"/>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C81946"/>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C81946"/>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C81946"/>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C81946"/>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C81946"/>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C81946"/>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C81946"/>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C81946"/>
    <w:rPr>
      <w:i w:val="1"/>
      <w:iCs w:val="1"/>
      <w:color w:val="404040" w:themeColor="text1" w:themeTint="0000BF"/>
    </w:rPr>
  </w:style>
  <w:style w:type="paragraph" w:styleId="ListParagraph">
    <w:name w:val="List Paragraph"/>
    <w:basedOn w:val="Normal"/>
    <w:uiPriority w:val="34"/>
    <w:qFormat w:val="1"/>
    <w:rsid w:val="00C81946"/>
    <w:pPr>
      <w:ind w:left="720"/>
      <w:contextualSpacing w:val="1"/>
    </w:pPr>
  </w:style>
  <w:style w:type="character" w:styleId="IntenseEmphasis">
    <w:name w:val="Intense Emphasis"/>
    <w:basedOn w:val="DefaultParagraphFont"/>
    <w:uiPriority w:val="21"/>
    <w:qFormat w:val="1"/>
    <w:rsid w:val="00C81946"/>
    <w:rPr>
      <w:i w:val="1"/>
      <w:iCs w:val="1"/>
      <w:color w:val="0f4761" w:themeColor="accent1" w:themeShade="0000BF"/>
    </w:rPr>
  </w:style>
  <w:style w:type="paragraph" w:styleId="IntenseQuote">
    <w:name w:val="Intense Quote"/>
    <w:basedOn w:val="Normal"/>
    <w:next w:val="Normal"/>
    <w:link w:val="IntenseQuoteChar"/>
    <w:uiPriority w:val="30"/>
    <w:qFormat w:val="1"/>
    <w:rsid w:val="00C81946"/>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81946"/>
    <w:rPr>
      <w:i w:val="1"/>
      <w:iCs w:val="1"/>
      <w:color w:val="0f4761" w:themeColor="accent1" w:themeShade="0000BF"/>
    </w:rPr>
  </w:style>
  <w:style w:type="character" w:styleId="IntenseReference">
    <w:name w:val="Intense Reference"/>
    <w:basedOn w:val="DefaultParagraphFont"/>
    <w:uiPriority w:val="32"/>
    <w:qFormat w:val="1"/>
    <w:rsid w:val="00C81946"/>
    <w:rPr>
      <w:b w:val="1"/>
      <w:bCs w:val="1"/>
      <w:smallCaps w:val="1"/>
      <w:color w:val="0f4761" w:themeColor="accent1" w:themeShade="0000BF"/>
      <w:spacing w:val="5"/>
    </w:rPr>
  </w:style>
  <w:style w:type="character" w:styleId="CommentReference">
    <w:name w:val="annotation reference"/>
    <w:basedOn w:val="DefaultParagraphFont"/>
    <w:uiPriority w:val="99"/>
    <w:semiHidden w:val="1"/>
    <w:unhideWhenUsed w:val="1"/>
    <w:rsid w:val="00C81946"/>
    <w:rPr>
      <w:sz w:val="16"/>
      <w:szCs w:val="16"/>
    </w:rPr>
  </w:style>
  <w:style w:type="paragraph" w:styleId="CommentText">
    <w:name w:val="annotation text"/>
    <w:basedOn w:val="Normal"/>
    <w:link w:val="CommentTextChar"/>
    <w:uiPriority w:val="99"/>
    <w:unhideWhenUsed w:val="1"/>
    <w:rsid w:val="00C81946"/>
    <w:pPr>
      <w:spacing w:line="240" w:lineRule="auto"/>
    </w:pPr>
    <w:rPr>
      <w:sz w:val="20"/>
      <w:szCs w:val="20"/>
    </w:rPr>
  </w:style>
  <w:style w:type="character" w:styleId="CommentTextChar" w:customStyle="1">
    <w:name w:val="Comment Text Char"/>
    <w:basedOn w:val="DefaultParagraphFont"/>
    <w:link w:val="CommentText"/>
    <w:uiPriority w:val="99"/>
    <w:rsid w:val="00C81946"/>
    <w:rPr>
      <w:sz w:val="20"/>
      <w:szCs w:val="20"/>
    </w:rPr>
  </w:style>
  <w:style w:type="character" w:styleId="Hyperlink">
    <w:name w:val="Hyperlink"/>
    <w:basedOn w:val="DefaultParagraphFont"/>
    <w:uiPriority w:val="99"/>
    <w:unhideWhenUsed w:val="1"/>
    <w:rsid w:val="00C81946"/>
    <w:rPr>
      <w:color w:val="467886" w:themeColor="hyperlink"/>
      <w:u w:val="single"/>
    </w:rPr>
  </w:style>
  <w:style w:type="character" w:styleId="UnresolvedMention1" w:customStyle="1">
    <w:name w:val="Unresolved Mention1"/>
    <w:basedOn w:val="DefaultParagraphFont"/>
    <w:uiPriority w:val="99"/>
    <w:semiHidden w:val="1"/>
    <w:unhideWhenUsed w:val="1"/>
    <w:rsid w:val="00C81946"/>
    <w:rPr>
      <w:color w:val="605e5c"/>
      <w:shd w:color="auto" w:fill="e1dfdd" w:val="clear"/>
    </w:rPr>
  </w:style>
  <w:style w:type="paragraph" w:styleId="Footer">
    <w:name w:val="footer"/>
    <w:basedOn w:val="Normal"/>
    <w:link w:val="FooterChar"/>
    <w:uiPriority w:val="99"/>
    <w:unhideWhenUsed w:val="1"/>
    <w:rsid w:val="00C81946"/>
    <w:pPr>
      <w:tabs>
        <w:tab w:val="center" w:pos="4252"/>
        <w:tab w:val="right" w:pos="8504"/>
      </w:tabs>
      <w:spacing w:after="0" w:line="240" w:lineRule="auto"/>
    </w:pPr>
  </w:style>
  <w:style w:type="character" w:styleId="FooterChar" w:customStyle="1">
    <w:name w:val="Footer Char"/>
    <w:basedOn w:val="DefaultParagraphFont"/>
    <w:link w:val="Footer"/>
    <w:uiPriority w:val="99"/>
    <w:rsid w:val="00C81946"/>
  </w:style>
  <w:style w:type="paragraph" w:styleId="CommentSubject">
    <w:name w:val="annotation subject"/>
    <w:basedOn w:val="CommentText"/>
    <w:next w:val="CommentText"/>
    <w:link w:val="CommentSubjectChar"/>
    <w:uiPriority w:val="99"/>
    <w:semiHidden w:val="1"/>
    <w:unhideWhenUsed w:val="1"/>
    <w:rsid w:val="0032239B"/>
    <w:rPr>
      <w:b w:val="1"/>
      <w:bCs w:val="1"/>
    </w:rPr>
  </w:style>
  <w:style w:type="character" w:styleId="CommentSubjectChar" w:customStyle="1">
    <w:name w:val="Comment Subject Char"/>
    <w:basedOn w:val="CommentTextChar"/>
    <w:link w:val="CommentSubject"/>
    <w:uiPriority w:val="99"/>
    <w:semiHidden w:val="1"/>
    <w:rsid w:val="0032239B"/>
    <w:rPr>
      <w:b w:val="1"/>
      <w:bCs w:val="1"/>
      <w:sz w:val="20"/>
      <w:szCs w:val="20"/>
    </w:rPr>
  </w:style>
  <w:style w:type="paragraph" w:styleId="BalloonText">
    <w:name w:val="Balloon Text"/>
    <w:basedOn w:val="Normal"/>
    <w:link w:val="BalloonTextChar"/>
    <w:uiPriority w:val="99"/>
    <w:semiHidden w:val="1"/>
    <w:unhideWhenUsed w:val="1"/>
    <w:rsid w:val="0032239B"/>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32239B"/>
    <w:rPr>
      <w:rFonts w:ascii="Segoe UI" w:cs="Segoe UI" w:hAnsi="Segoe UI"/>
      <w:sz w:val="18"/>
      <w:szCs w:val="18"/>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mailto:smartinez@urbangrupo.com" TargetMode="External"/><Relationship Id="rId10" Type="http://schemas.openxmlformats.org/officeDocument/2006/relationships/hyperlink" Target="mailto:mvalenzuela@urbangrupo.com" TargetMode="External"/><Relationship Id="rId13" Type="http://schemas.openxmlformats.org/officeDocument/2006/relationships/hyperlink" Target="mailto:mpuhlmann@urbangrupo.com" TargetMode="External"/><Relationship Id="rId12" Type="http://schemas.openxmlformats.org/officeDocument/2006/relationships/hyperlink" Target="mailto:jvalenzuela@urbangrupo.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fnunez@urbangrupo.com" TargetMode="External"/><Relationship Id="rId15" Type="http://schemas.openxmlformats.org/officeDocument/2006/relationships/footer" Target="footer2.xml"/><Relationship Id="rId14" Type="http://schemas.openxmlformats.org/officeDocument/2006/relationships/footer" Target="footer1.xml"/><Relationship Id="rId16"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news.samsung.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T7sJKTGXEQAhTtKhCCYqjXdWAQ==">CgMxLjAyDmguazNnNWliMzQxZzdiOAByITFJUFJwZTh2bTVmUk5ZQWZzZmN2N0VRUHV1MWNqWUZWZQ==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2025-09-23T21:12:00Z</dcterms:created>
  <dc:creator>Michelli Taborda (FleishmanHillard)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1161e8fd,1f6204c1,4e43d4fe</vt:lpwstr>
  </property>
  <property fmtid="{D5CDD505-2E9C-101B-9397-08002B2CF9AE}" pid="3" name="ClassificationContentMarkingFooterFontProps">
    <vt:lpwstr>#000000,10,Calibri</vt:lpwstr>
  </property>
  <property fmtid="{D5CDD505-2E9C-101B-9397-08002B2CF9AE}" pid="4" name="ClassificationContentMarkingFooterText">
    <vt:lpwstr>Confidential - Not for Public Consumption or Distribution</vt:lpwstr>
  </property>
  <property fmtid="{D5CDD505-2E9C-101B-9397-08002B2CF9AE}" pid="5" name="MSIP_Label_8e19d756-792e-42a1-bcad-4cb9051ddd2d_Enabled">
    <vt:lpwstr>true</vt:lpwstr>
  </property>
  <property fmtid="{D5CDD505-2E9C-101B-9397-08002B2CF9AE}" pid="6" name="MSIP_Label_8e19d756-792e-42a1-bcad-4cb9051ddd2d_SetDate">
    <vt:lpwstr>2025-09-01T13:47:38Z</vt:lpwstr>
  </property>
  <property fmtid="{D5CDD505-2E9C-101B-9397-08002B2CF9AE}" pid="7" name="MSIP_Label_8e19d756-792e-42a1-bcad-4cb9051ddd2d_Method">
    <vt:lpwstr>Standard</vt:lpwstr>
  </property>
  <property fmtid="{D5CDD505-2E9C-101B-9397-08002B2CF9AE}" pid="8" name="MSIP_Label_8e19d756-792e-42a1-bcad-4cb9051ddd2d_Name">
    <vt:lpwstr>Confidential</vt:lpwstr>
  </property>
  <property fmtid="{D5CDD505-2E9C-101B-9397-08002B2CF9AE}" pid="9" name="MSIP_Label_8e19d756-792e-42a1-bcad-4cb9051ddd2d_SiteId">
    <vt:lpwstr>41eb501a-f671-4ce0-a5bf-b64168c3705f</vt:lpwstr>
  </property>
  <property fmtid="{D5CDD505-2E9C-101B-9397-08002B2CF9AE}" pid="10" name="MSIP_Label_8e19d756-792e-42a1-bcad-4cb9051ddd2d_ActionId">
    <vt:lpwstr>2f6900c4-7fb2-486d-99c1-b2bf4e31b432</vt:lpwstr>
  </property>
  <property fmtid="{D5CDD505-2E9C-101B-9397-08002B2CF9AE}" pid="11" name="MSIP_Label_8e19d756-792e-42a1-bcad-4cb9051ddd2d_ContentBits">
    <vt:lpwstr>2</vt:lpwstr>
  </property>
  <property fmtid="{D5CDD505-2E9C-101B-9397-08002B2CF9AE}" pid="12" name="MSIP_Label_8e19d756-792e-42a1-bcad-4cb9051ddd2d_Tag">
    <vt:lpwstr>10, 3, 0, 1</vt:lpwstr>
  </property>
</Properties>
</file>