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86008" w14:textId="7CF2B262" w:rsidR="008D26DD" w:rsidRPr="00DB3207" w:rsidRDefault="00DB3207">
      <w:pPr>
        <w:spacing w:before="240" w:after="240" w:line="278" w:lineRule="auto"/>
        <w:jc w:val="left"/>
        <w:rPr>
          <w:rFonts w:ascii="Arial" w:eastAsia="Arial" w:hAnsi="Arial" w:cs="Arial"/>
          <w:b/>
          <w:sz w:val="28"/>
          <w:szCs w:val="28"/>
        </w:rPr>
      </w:pPr>
      <w:r w:rsidRPr="00DB3207">
        <w:rPr>
          <w:rFonts w:ascii="Arial" w:eastAsia="Arial" w:hAnsi="Arial" w:cs="Arial"/>
          <w:b/>
          <w:sz w:val="28"/>
          <w:szCs w:val="28"/>
        </w:rPr>
        <w:t>La cámara de tu smartphone ahora capta lo que estás viendo y responde</w:t>
      </w:r>
    </w:p>
    <w:p w14:paraId="4F69053F" w14:textId="77777777" w:rsidR="008D26DD" w:rsidRPr="00DB3207" w:rsidRDefault="00DB3207">
      <w:pPr>
        <w:spacing w:before="240" w:after="240" w:line="278" w:lineRule="auto"/>
        <w:jc w:val="left"/>
        <w:rPr>
          <w:rFonts w:ascii="Arial" w:eastAsia="Arial" w:hAnsi="Arial" w:cs="Arial"/>
          <w:sz w:val="22"/>
          <w:szCs w:val="22"/>
        </w:rPr>
      </w:pPr>
      <w:r w:rsidRPr="00DB3207">
        <w:rPr>
          <w:rFonts w:ascii="Arial" w:eastAsia="Arial" w:hAnsi="Arial" w:cs="Arial"/>
          <w:sz w:val="22"/>
          <w:szCs w:val="22"/>
        </w:rPr>
        <w:t>La imagen móvil actual va más allá de una lente de alta calidad o un sensor avanzado: exige una integración perfecta entre hardware, software e inteligencia artificial. Por eso Samsung Electronics aborda la innovación en cámaras como un sistema holístico, en el que cada avance está respaldado por tecnologías estrechamente integradas. Esta visión unificada permite a los dispositivos Galaxy redefinir continuamente la fotografía móvil, lo que permite a los usuarios capturar, crear y comunicar de forma más significativa.</w:t>
      </w:r>
    </w:p>
    <w:p w14:paraId="0AFB22EC" w14:textId="77777777" w:rsidR="008D26DD" w:rsidRPr="00DB3207" w:rsidRDefault="00DB3207">
      <w:pPr>
        <w:spacing w:before="240" w:after="240" w:line="278" w:lineRule="auto"/>
        <w:jc w:val="left"/>
        <w:rPr>
          <w:rFonts w:ascii="Arial" w:eastAsia="Arial" w:hAnsi="Arial" w:cs="Arial"/>
          <w:sz w:val="22"/>
          <w:szCs w:val="22"/>
        </w:rPr>
      </w:pPr>
      <w:r w:rsidRPr="00DB3207">
        <w:rPr>
          <w:rFonts w:ascii="Arial" w:eastAsia="Arial" w:hAnsi="Arial" w:cs="Arial"/>
          <w:sz w:val="22"/>
          <w:szCs w:val="22"/>
        </w:rPr>
        <w:t>A medida que la IA evoluciona desde las indicaciones basadas en texto hasta la comprensión multimodal, los dispositivos Galaxy se vuelven más inteligentes, capaces de entender lo que estás viendo y responder a las situaciones. La cámara es el centro de esta transformación. Más que una simple herramienta para capturar imágenes, junto con las funciones mejoradas impulsadas por IA, la cámara Galaxy ahora forma parte de la interfaz intuitiva que convierte lo que ven los usuarios en comprensión y acción.</w:t>
      </w:r>
    </w:p>
    <w:p w14:paraId="5F7773D3" w14:textId="77777777" w:rsidR="008D26DD" w:rsidRPr="00DB3207" w:rsidRDefault="00DB3207">
      <w:pPr>
        <w:spacing w:before="240" w:after="240" w:line="278" w:lineRule="auto"/>
        <w:jc w:val="left"/>
        <w:rPr>
          <w:rFonts w:ascii="Arial" w:eastAsia="Arial" w:hAnsi="Arial" w:cs="Arial"/>
          <w:sz w:val="22"/>
          <w:szCs w:val="22"/>
        </w:rPr>
      </w:pPr>
      <w:r w:rsidRPr="00DB3207">
        <w:rPr>
          <w:rFonts w:ascii="Arial" w:eastAsia="Arial" w:hAnsi="Arial" w:cs="Arial"/>
          <w:sz w:val="22"/>
          <w:szCs w:val="22"/>
        </w:rPr>
        <w:t xml:space="preserve">Cuando se combina con la pantalla flexible y amplia de un dispositivo plegable, esta experiencia se vuelve aún más potente, dinámica y envolvente. Porque la innovación no significa nada sin confianza, la privacidad está integrada en cada capa, lo que ayuda a garantizar que los datos estén protegidos en todo momento. </w:t>
      </w:r>
    </w:p>
    <w:p w14:paraId="04A3596C" w14:textId="77777777" w:rsidR="008D26DD" w:rsidRPr="00DB3207" w:rsidRDefault="00DB3207">
      <w:pPr>
        <w:spacing w:before="240" w:after="240" w:line="278" w:lineRule="auto"/>
        <w:jc w:val="left"/>
        <w:rPr>
          <w:rFonts w:ascii="Arial" w:eastAsia="Arial" w:hAnsi="Arial" w:cs="Arial"/>
          <w:sz w:val="22"/>
          <w:szCs w:val="22"/>
        </w:rPr>
      </w:pPr>
      <w:r w:rsidRPr="00DB3207">
        <w:rPr>
          <w:rFonts w:ascii="Arial" w:eastAsia="Arial" w:hAnsi="Arial" w:cs="Arial"/>
          <w:sz w:val="22"/>
          <w:szCs w:val="22"/>
        </w:rPr>
        <w:t>Está atento. La cámara será cada vez más inteligente, ayudando a los usuarios a capturar los momentos de la vida con mayor nitidez y a hacer que las experiencias cotidianas sean más fluidas, personales e impactantes.</w:t>
      </w:r>
    </w:p>
    <w:p w14:paraId="09AA29B4" w14:textId="3CB01447" w:rsidR="008D26DD" w:rsidRPr="00DB3207" w:rsidRDefault="00DB3207">
      <w:pPr>
        <w:spacing w:before="240" w:after="240"/>
        <w:rPr>
          <w:rFonts w:ascii="Arial" w:eastAsia="Arial" w:hAnsi="Arial" w:cs="Arial"/>
          <w:b/>
          <w:sz w:val="22"/>
          <w:szCs w:val="22"/>
        </w:rPr>
      </w:pPr>
      <w:r w:rsidRPr="00DB3207">
        <w:rPr>
          <w:rFonts w:ascii="Arial" w:eastAsia="Arial" w:hAnsi="Arial" w:cs="Arial"/>
          <w:sz w:val="22"/>
          <w:szCs w:val="22"/>
        </w:rPr>
        <w:t xml:space="preserve">La experiencia Ultra está lista para </w:t>
      </w:r>
      <w:r w:rsidR="00CB49B5" w:rsidRPr="00CB49B5">
        <w:rPr>
          <w:rFonts w:ascii="Arial" w:eastAsia="Arial" w:hAnsi="Arial" w:cs="Arial"/>
          <w:sz w:val="22"/>
          <w:szCs w:val="22"/>
        </w:rPr>
        <w:t>desplegarse</w:t>
      </w:r>
      <w:r>
        <w:rPr>
          <w:rFonts w:ascii="Arial" w:eastAsia="Arial" w:hAnsi="Arial" w:cs="Arial"/>
          <w:sz w:val="22"/>
          <w:szCs w:val="22"/>
        </w:rPr>
        <w:t xml:space="preserve">. </w:t>
      </w:r>
    </w:p>
    <w:p w14:paraId="600E8AF9" w14:textId="77777777" w:rsidR="008D26DD" w:rsidRPr="00DB3207" w:rsidRDefault="008D26DD">
      <w:pPr>
        <w:rPr>
          <w:rFonts w:ascii="Arial" w:eastAsia="Arial" w:hAnsi="Arial" w:cs="Arial"/>
          <w:sz w:val="22"/>
          <w:szCs w:val="22"/>
        </w:rPr>
      </w:pPr>
    </w:p>
    <w:sectPr w:rsidR="008D26DD" w:rsidRPr="00DB3207">
      <w:footerReference w:type="even" r:id="rId7"/>
      <w:footerReference w:type="default" r:id="rId8"/>
      <w:footerReference w:type="first" r:id="rId9"/>
      <w:pgSz w:w="11906" w:h="16838"/>
      <w:pgMar w:top="1701" w:right="1440" w:bottom="1440" w:left="144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76973" w14:textId="77777777" w:rsidR="00B4247E" w:rsidRPr="00DB3207" w:rsidRDefault="00B4247E">
      <w:pPr>
        <w:spacing w:after="0" w:line="240" w:lineRule="auto"/>
      </w:pPr>
      <w:r w:rsidRPr="00DB3207">
        <w:separator/>
      </w:r>
    </w:p>
  </w:endnote>
  <w:endnote w:type="continuationSeparator" w:id="0">
    <w:p w14:paraId="535C6BC4" w14:textId="77777777" w:rsidR="00B4247E" w:rsidRPr="00DB3207" w:rsidRDefault="00B4247E">
      <w:pPr>
        <w:spacing w:after="0" w:line="240" w:lineRule="auto"/>
      </w:pPr>
      <w:r w:rsidRPr="00DB320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30AA7" w14:textId="77777777" w:rsidR="008D26DD" w:rsidRPr="00DB3207" w:rsidRDefault="00DB3207">
    <w:pPr>
      <w:pBdr>
        <w:top w:val="nil"/>
        <w:left w:val="nil"/>
        <w:bottom w:val="nil"/>
        <w:right w:val="nil"/>
        <w:between w:val="nil"/>
      </w:pBdr>
      <w:tabs>
        <w:tab w:val="center" w:pos="4513"/>
        <w:tab w:val="right" w:pos="9026"/>
      </w:tabs>
      <w:rPr>
        <w:color w:val="000000"/>
      </w:rPr>
    </w:pPr>
    <w:r w:rsidRPr="00DB3207">
      <w:rPr>
        <w:noProof/>
      </w:rPr>
      <mc:AlternateContent>
        <mc:Choice Requires="wps">
          <w:drawing>
            <wp:anchor distT="0" distB="0" distL="0" distR="0" simplePos="0" relativeHeight="251660288" behindDoc="0" locked="0" layoutInCell="1" hidden="0" allowOverlap="1" wp14:anchorId="2A395721" wp14:editId="74D04811">
              <wp:simplePos x="0" y="0"/>
              <wp:positionH relativeFrom="column">
                <wp:posOffset>482600</wp:posOffset>
              </wp:positionH>
              <wp:positionV relativeFrom="paragraph">
                <wp:posOffset>0</wp:posOffset>
              </wp:positionV>
              <wp:extent cx="2937510" cy="367030"/>
              <wp:effectExtent l="0" t="0" r="0" b="0"/>
              <wp:wrapNone/>
              <wp:docPr id="2010792234" name="Retângulo 2010792234" descr="Confidential - Not for Public Consumption or Distribution"/>
              <wp:cNvGraphicFramePr/>
              <a:graphic xmlns:a="http://schemas.openxmlformats.org/drawingml/2006/main">
                <a:graphicData uri="http://schemas.microsoft.com/office/word/2010/wordprocessingShape">
                  <wps:wsp>
                    <wps:cNvSpPr/>
                    <wps:spPr>
                      <a:xfrm>
                        <a:off x="3882008" y="3601248"/>
                        <a:ext cx="2927985" cy="357505"/>
                      </a:xfrm>
                      <a:prstGeom prst="rect">
                        <a:avLst/>
                      </a:prstGeom>
                      <a:noFill/>
                      <a:ln>
                        <a:noFill/>
                      </a:ln>
                    </wps:spPr>
                    <wps:txbx>
                      <w:txbxContent>
                        <w:p w14:paraId="1C19E28F" w14:textId="77777777" w:rsidR="008D26DD" w:rsidRPr="00CB49B5" w:rsidRDefault="00DB3207">
                          <w:pPr>
                            <w:spacing w:after="0" w:line="258" w:lineRule="auto"/>
                            <w:textDirection w:val="btLr"/>
                            <w:rPr>
                              <w:lang w:val="en-US"/>
                            </w:rPr>
                          </w:pPr>
                          <w:r w:rsidRPr="00CB49B5">
                            <w:rPr>
                              <w:rFonts w:ascii="Calibri" w:eastAsia="Calibri" w:hAnsi="Calibri" w:cs="Calibri"/>
                              <w:color w:val="000000"/>
                              <w:lang w:val="en-US"/>
                            </w:rPr>
                            <w:t>Confidential - Not for Public Consumption or Distribution</w:t>
                          </w:r>
                        </w:p>
                      </w:txbxContent>
                    </wps:txbx>
                    <wps:bodyPr spcFirstLastPara="1" wrap="square" lIns="0" tIns="0" rIns="0" bIns="190500" anchor="b" anchorCtr="0">
                      <a:noAutofit/>
                    </wps:bodyPr>
                  </wps:wsp>
                </a:graphicData>
              </a:graphic>
            </wp:anchor>
          </w:drawing>
        </mc:Choice>
        <mc:Fallback>
          <w:pict>
            <v:rect w14:anchorId="2A395721" id="Retângulo 2010792234" o:spid="_x0000_s1026" alt="Confidential - Not for Public Consumption or Distribution" style="position:absolute;left:0;text-align:left;margin-left:38pt;margin-top:0;width:231.3pt;height:28.9pt;z-index:251660288;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" filled="f" stroked="f">
              <v:textbox inset="0,0,0,15pt">
                <w:txbxContent>
                  <w:p w14:paraId="1C19E28F" w14:textId="77777777" w:rsidR="008D26DD" w:rsidRPr="00CB49B5" w:rsidRDefault="00DB3207">
                    <w:pPr>
                      <w:spacing w:after="0" w:line="258" w:lineRule="auto"/>
                      <w:textDirection w:val="btLr"/>
                      <w:rPr>
                        <w:lang w:val="en-US"/>
                      </w:rPr>
                    </w:pPr>
                    <w:r w:rsidRPr="00CB49B5">
                      <w:rPr>
                        <w:rFonts w:ascii="Calibri" w:eastAsia="Calibri" w:hAnsi="Calibri" w:cs="Calibri"/>
                        <w:color w:val="000000"/>
                        <w:lang w:val="en-US"/>
                      </w:rPr>
                      <w:t>Confidential - Not for Public Consumption or Distribution</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87E1" w14:textId="77777777" w:rsidR="008D26DD" w:rsidRPr="00DB3207" w:rsidRDefault="00DB3207">
    <w:pPr>
      <w:pBdr>
        <w:top w:val="nil"/>
        <w:left w:val="nil"/>
        <w:bottom w:val="nil"/>
        <w:right w:val="nil"/>
        <w:between w:val="nil"/>
      </w:pBdr>
      <w:tabs>
        <w:tab w:val="center" w:pos="4513"/>
        <w:tab w:val="right" w:pos="9026"/>
      </w:tabs>
      <w:rPr>
        <w:color w:val="000000"/>
      </w:rPr>
    </w:pPr>
    <w:r w:rsidRPr="00DB3207">
      <w:rPr>
        <w:noProof/>
      </w:rPr>
      <mc:AlternateContent>
        <mc:Choice Requires="wps">
          <w:drawing>
            <wp:anchor distT="0" distB="0" distL="0" distR="0" simplePos="0" relativeHeight="251658240" behindDoc="0" locked="0" layoutInCell="1" hidden="0" allowOverlap="1" wp14:anchorId="7569A9C6" wp14:editId="71A3013F">
              <wp:simplePos x="0" y="0"/>
              <wp:positionH relativeFrom="column">
                <wp:posOffset>482600</wp:posOffset>
              </wp:positionH>
              <wp:positionV relativeFrom="paragraph">
                <wp:posOffset>0</wp:posOffset>
              </wp:positionV>
              <wp:extent cx="2937510" cy="367030"/>
              <wp:effectExtent l="0" t="0" r="0" b="0"/>
              <wp:wrapNone/>
              <wp:docPr id="2010792235" name="Retângulo 2010792235" descr="Confidential - Not for Public Consumption or Distribution"/>
              <wp:cNvGraphicFramePr/>
              <a:graphic xmlns:a="http://schemas.openxmlformats.org/drawingml/2006/main">
                <a:graphicData uri="http://schemas.microsoft.com/office/word/2010/wordprocessingShape">
                  <wps:wsp>
                    <wps:cNvSpPr/>
                    <wps:spPr>
                      <a:xfrm>
                        <a:off x="3882008" y="3601248"/>
                        <a:ext cx="2927985" cy="357505"/>
                      </a:xfrm>
                      <a:prstGeom prst="rect">
                        <a:avLst/>
                      </a:prstGeom>
                      <a:noFill/>
                      <a:ln>
                        <a:noFill/>
                      </a:ln>
                    </wps:spPr>
                    <wps:txbx>
                      <w:txbxContent>
                        <w:p w14:paraId="5DDC000A" w14:textId="77777777" w:rsidR="008D26DD" w:rsidRPr="00CB49B5" w:rsidRDefault="00DB3207">
                          <w:pPr>
                            <w:spacing w:after="0" w:line="258" w:lineRule="auto"/>
                            <w:textDirection w:val="btLr"/>
                            <w:rPr>
                              <w:lang w:val="en-US"/>
                            </w:rPr>
                          </w:pPr>
                          <w:r w:rsidRPr="00CB49B5">
                            <w:rPr>
                              <w:rFonts w:ascii="Calibri" w:eastAsia="Calibri" w:hAnsi="Calibri" w:cs="Calibri"/>
                              <w:color w:val="000000"/>
                              <w:lang w:val="en-US"/>
                            </w:rPr>
                            <w:t>Confidential - Not for Public Consumption or Distribution</w:t>
                          </w:r>
                        </w:p>
                      </w:txbxContent>
                    </wps:txbx>
                    <wps:bodyPr spcFirstLastPara="1" wrap="square" lIns="0" tIns="0" rIns="0" bIns="190500" anchor="b" anchorCtr="0">
                      <a:noAutofit/>
                    </wps:bodyPr>
                  </wps:wsp>
                </a:graphicData>
              </a:graphic>
            </wp:anchor>
          </w:drawing>
        </mc:Choice>
        <mc:Fallback>
          <w:pict>
            <v:rect w14:anchorId="7569A9C6" id="Retângulo 2010792235" o:spid="_x0000_s1027" alt="Confidential - Not for Public Consumption or Distribution" style="position:absolute;left:0;text-align:left;margin-left:38pt;margin-top:0;width:231.3pt;height:28.9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" filled="f" stroked="f">
              <v:textbox inset="0,0,0,15pt">
                <w:txbxContent>
                  <w:p w14:paraId="5DDC000A" w14:textId="77777777" w:rsidR="008D26DD" w:rsidRPr="00CB49B5" w:rsidRDefault="00DB3207">
                    <w:pPr>
                      <w:spacing w:after="0" w:line="258" w:lineRule="auto"/>
                      <w:textDirection w:val="btLr"/>
                      <w:rPr>
                        <w:lang w:val="en-US"/>
                      </w:rPr>
                    </w:pPr>
                    <w:r w:rsidRPr="00CB49B5">
                      <w:rPr>
                        <w:rFonts w:ascii="Calibri" w:eastAsia="Calibri" w:hAnsi="Calibri" w:cs="Calibri"/>
                        <w:color w:val="000000"/>
                        <w:lang w:val="en-US"/>
                      </w:rPr>
                      <w:t>Confidential - Not for Public Consumption or Distribution</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37FF0" w14:textId="77777777" w:rsidR="008D26DD" w:rsidRPr="00DB3207" w:rsidRDefault="00DB3207">
    <w:pPr>
      <w:pBdr>
        <w:top w:val="nil"/>
        <w:left w:val="nil"/>
        <w:bottom w:val="nil"/>
        <w:right w:val="nil"/>
        <w:between w:val="nil"/>
      </w:pBdr>
      <w:tabs>
        <w:tab w:val="center" w:pos="4513"/>
        <w:tab w:val="right" w:pos="9026"/>
      </w:tabs>
      <w:rPr>
        <w:color w:val="000000"/>
      </w:rPr>
    </w:pPr>
    <w:r w:rsidRPr="00DB3207">
      <w:rPr>
        <w:noProof/>
      </w:rPr>
      <mc:AlternateContent>
        <mc:Choice Requires="wps">
          <w:drawing>
            <wp:anchor distT="0" distB="0" distL="0" distR="0" simplePos="0" relativeHeight="251659264" behindDoc="0" locked="0" layoutInCell="1" hidden="0" allowOverlap="1" wp14:anchorId="1573B285" wp14:editId="129449B2">
              <wp:simplePos x="0" y="0"/>
              <wp:positionH relativeFrom="column">
                <wp:posOffset>482600</wp:posOffset>
              </wp:positionH>
              <wp:positionV relativeFrom="paragraph">
                <wp:posOffset>0</wp:posOffset>
              </wp:positionV>
              <wp:extent cx="2937510" cy="367030"/>
              <wp:effectExtent l="0" t="0" r="0" b="0"/>
              <wp:wrapNone/>
              <wp:docPr id="2010792233" name="Retângulo 2010792233" descr="Confidential - Not for Public Consumption or Distribution"/>
              <wp:cNvGraphicFramePr/>
              <a:graphic xmlns:a="http://schemas.openxmlformats.org/drawingml/2006/main">
                <a:graphicData uri="http://schemas.microsoft.com/office/word/2010/wordprocessingShape">
                  <wps:wsp>
                    <wps:cNvSpPr/>
                    <wps:spPr>
                      <a:xfrm>
                        <a:off x="3882008" y="3601248"/>
                        <a:ext cx="2927985" cy="357505"/>
                      </a:xfrm>
                      <a:prstGeom prst="rect">
                        <a:avLst/>
                      </a:prstGeom>
                      <a:noFill/>
                      <a:ln>
                        <a:noFill/>
                      </a:ln>
                    </wps:spPr>
                    <wps:txbx>
                      <w:txbxContent>
                        <w:p w14:paraId="2E4188E4" w14:textId="77777777" w:rsidR="008D26DD" w:rsidRPr="00CB49B5" w:rsidRDefault="00DB3207">
                          <w:pPr>
                            <w:spacing w:after="0" w:line="258" w:lineRule="auto"/>
                            <w:textDirection w:val="btLr"/>
                            <w:rPr>
                              <w:lang w:val="en-US"/>
                            </w:rPr>
                          </w:pPr>
                          <w:r w:rsidRPr="00CB49B5">
                            <w:rPr>
                              <w:rFonts w:ascii="Calibri" w:eastAsia="Calibri" w:hAnsi="Calibri" w:cs="Calibri"/>
                              <w:color w:val="000000"/>
                              <w:lang w:val="en-US"/>
                            </w:rPr>
                            <w:t>Confidential - Not for Public Consumption or Distribution</w:t>
                          </w:r>
                        </w:p>
                      </w:txbxContent>
                    </wps:txbx>
                    <wps:bodyPr spcFirstLastPara="1" wrap="square" lIns="0" tIns="0" rIns="0" bIns="190500" anchor="b" anchorCtr="0">
                      <a:noAutofit/>
                    </wps:bodyPr>
                  </wps:wsp>
                </a:graphicData>
              </a:graphic>
            </wp:anchor>
          </w:drawing>
        </mc:Choice>
        <mc:Fallback>
          <w:pict>
            <v:rect w14:anchorId="1573B285" id="Retângulo 2010792233" o:spid="_x0000_s1028" alt="Confidential - Not for Public Consumption or Distribution" style="position:absolute;left:0;text-align:left;margin-left:38pt;margin-top:0;width:231.3pt;height:28.9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" filled="f" stroked="f">
              <v:textbox inset="0,0,0,15pt">
                <w:txbxContent>
                  <w:p w14:paraId="2E4188E4" w14:textId="77777777" w:rsidR="008D26DD" w:rsidRPr="00CB49B5" w:rsidRDefault="00DB3207">
                    <w:pPr>
                      <w:spacing w:after="0" w:line="258" w:lineRule="auto"/>
                      <w:textDirection w:val="btLr"/>
                      <w:rPr>
                        <w:lang w:val="en-US"/>
                      </w:rPr>
                    </w:pPr>
                    <w:r w:rsidRPr="00CB49B5">
                      <w:rPr>
                        <w:rFonts w:ascii="Calibri" w:eastAsia="Calibri" w:hAnsi="Calibri" w:cs="Calibri"/>
                        <w:color w:val="000000"/>
                        <w:lang w:val="en-US"/>
                      </w:rPr>
                      <w:t>Confidential - Not for Public Consumption or Distribution</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15597" w14:textId="77777777" w:rsidR="00B4247E" w:rsidRPr="00DB3207" w:rsidRDefault="00B4247E">
      <w:pPr>
        <w:spacing w:after="0" w:line="240" w:lineRule="auto"/>
      </w:pPr>
      <w:r w:rsidRPr="00DB3207">
        <w:separator/>
      </w:r>
    </w:p>
  </w:footnote>
  <w:footnote w:type="continuationSeparator" w:id="0">
    <w:p w14:paraId="60E81401" w14:textId="77777777" w:rsidR="00B4247E" w:rsidRPr="00DB3207" w:rsidRDefault="00B4247E">
      <w:pPr>
        <w:spacing w:after="0" w:line="240" w:lineRule="auto"/>
      </w:pPr>
      <w:r w:rsidRPr="00DB3207">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6DD"/>
    <w:rsid w:val="006240A8"/>
    <w:rsid w:val="008D26DD"/>
    <w:rsid w:val="00B4247E"/>
    <w:rsid w:val="00CB49B5"/>
    <w:rsid w:val="00D947D5"/>
    <w:rsid w:val="00DB320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76817D"/>
  <w15:docId w15:val="{927D46BC-9A10-47E0-B4BF-8985F2FED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algun Gothic" w:eastAsia="Malgun Gothic" w:hAnsi="Malgun Gothic" w:cs="Malgun Gothic"/>
        <w:lang w:val="en-US" w:eastAsia="es-419" w:bidi="ar-SA"/>
      </w:rPr>
    </w:rPrDefault>
    <w:pPrDefault>
      <w:pPr>
        <w:widowControl w:val="0"/>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ordWrap w:val="0"/>
      <w:autoSpaceDE w:val="0"/>
      <w:autoSpaceDN w:val="0"/>
    </w:pPr>
    <w:rPr>
      <w:lang w:val="es-419"/>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4E141A"/>
    <w:pPr>
      <w:tabs>
        <w:tab w:val="center" w:pos="4513"/>
        <w:tab w:val="right" w:pos="9026"/>
      </w:tabs>
      <w:snapToGrid w:val="0"/>
    </w:pPr>
  </w:style>
  <w:style w:type="character" w:customStyle="1" w:styleId="CabealhoChar">
    <w:name w:val="Cabeçalho Char"/>
    <w:basedOn w:val="Fontepargpadro"/>
    <w:link w:val="Cabealho"/>
    <w:uiPriority w:val="99"/>
    <w:rsid w:val="004E141A"/>
  </w:style>
  <w:style w:type="paragraph" w:styleId="Rodap">
    <w:name w:val="footer"/>
    <w:basedOn w:val="Normal"/>
    <w:link w:val="RodapChar"/>
    <w:uiPriority w:val="99"/>
    <w:unhideWhenUsed/>
    <w:rsid w:val="004E141A"/>
    <w:pPr>
      <w:tabs>
        <w:tab w:val="center" w:pos="4513"/>
        <w:tab w:val="right" w:pos="9026"/>
      </w:tabs>
      <w:snapToGrid w:val="0"/>
    </w:pPr>
  </w:style>
  <w:style w:type="character" w:customStyle="1" w:styleId="RodapChar">
    <w:name w:val="Rodapé Char"/>
    <w:basedOn w:val="Fontepargpadro"/>
    <w:link w:val="Rodap"/>
    <w:uiPriority w:val="99"/>
    <w:rsid w:val="004E141A"/>
  </w:style>
  <w:style w:type="paragraph" w:styleId="Reviso">
    <w:name w:val="Revision"/>
    <w:hidden/>
    <w:uiPriority w:val="99"/>
    <w:semiHidden/>
    <w:rsid w:val="00FC4F50"/>
    <w:pPr>
      <w:spacing w:after="0" w:line="240" w:lineRule="auto"/>
      <w:jc w:val="left"/>
    </w:pPr>
  </w:style>
  <w:style w:type="character" w:styleId="Refdecomentrio">
    <w:name w:val="annotation reference"/>
    <w:basedOn w:val="Fontepargpadro"/>
    <w:uiPriority w:val="99"/>
    <w:semiHidden/>
    <w:unhideWhenUsed/>
    <w:rsid w:val="00062DEC"/>
    <w:rPr>
      <w:sz w:val="16"/>
      <w:szCs w:val="16"/>
    </w:rPr>
  </w:style>
  <w:style w:type="paragraph" w:styleId="Textodecomentrio">
    <w:name w:val="annotation text"/>
    <w:basedOn w:val="Normal"/>
    <w:link w:val="TextodecomentrioChar"/>
    <w:uiPriority w:val="99"/>
    <w:unhideWhenUsed/>
    <w:rsid w:val="00062DEC"/>
    <w:pPr>
      <w:spacing w:line="240" w:lineRule="auto"/>
    </w:pPr>
  </w:style>
  <w:style w:type="character" w:customStyle="1" w:styleId="TextodecomentrioChar">
    <w:name w:val="Texto de comentário Char"/>
    <w:basedOn w:val="Fontepargpadro"/>
    <w:link w:val="Textodecomentrio"/>
    <w:uiPriority w:val="99"/>
    <w:rsid w:val="00062DEC"/>
    <w:rPr>
      <w:szCs w:val="20"/>
    </w:rPr>
  </w:style>
  <w:style w:type="paragraph" w:styleId="Assuntodocomentrio">
    <w:name w:val="annotation subject"/>
    <w:basedOn w:val="Textodecomentrio"/>
    <w:next w:val="Textodecomentrio"/>
    <w:link w:val="AssuntodocomentrioChar"/>
    <w:uiPriority w:val="99"/>
    <w:semiHidden/>
    <w:unhideWhenUsed/>
    <w:rsid w:val="00B806AF"/>
    <w:rPr>
      <w:b/>
      <w:bCs/>
    </w:rPr>
  </w:style>
  <w:style w:type="character" w:customStyle="1" w:styleId="AssuntodocomentrioChar">
    <w:name w:val="Assunto do comentário Char"/>
    <w:basedOn w:val="TextodecomentrioChar"/>
    <w:link w:val="Assuntodocomentrio"/>
    <w:uiPriority w:val="99"/>
    <w:semiHidden/>
    <w:rsid w:val="00B806AF"/>
    <w:rPr>
      <w:b/>
      <w:bCs/>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cwRMoWp+MCegMyXGTn6UurQnZw==">CgMxLjA4AHIhMVBvbDIxLWd0c2pqcmZPUXFVcFVVTndUdmNZM0pwM0lE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263</Words>
  <Characters>1423</Characters>
  <Application>Microsoft Office Word</Application>
  <DocSecurity>0</DocSecurity>
  <Lines>11</Lines>
  <Paragraphs>3</Paragraphs>
  <ScaleCrop>false</ScaleCrop>
  <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김성엽/커뮤니케이션그룹(MX)/삼성전자</dc:creator>
  <cp:lastModifiedBy>Gabriella Visciglia (FleishmanHillard)</cp:lastModifiedBy>
  <cp:revision>3</cp:revision>
  <dcterms:created xsi:type="dcterms:W3CDTF">2025-06-09T16:44:00Z</dcterms:created>
  <dcterms:modified xsi:type="dcterms:W3CDTF">2025-06-09T16:48:00Z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0x010100514EE2B1519D7142AF34DAC2C42E0924</vt:lpwstr>
  </property>
  <property fmtid="{D5CDD505-2E9C-101B-9397-08002B2CF9AE}" pid="4" name="MediaServiceImageTags">
    <vt:lpwstr/>
  </property>
  <property fmtid="{D5CDD505-2E9C-101B-9397-08002B2CF9AE}" pid="5" name="GrammarlyDocumentId">
    <vt:lpwstr>cbe48402-9c8b-4918-88db-facaebc9ca37</vt:lpwstr>
  </property>
  <property fmtid="{D5CDD505-2E9C-101B-9397-08002B2CF9AE}" pid="6" name="ClassificationContentMarkingFooterShapeIds">
    <vt:lpwstr>700f36dd,58bbca45,77da4128</vt:lpwstr>
  </property>
  <property fmtid="{D5CDD505-2E9C-101B-9397-08002B2CF9AE}" pid="7" name="ClassificationContentMarkingFooterFontProps">
    <vt:lpwstr>#000000,10,Calibri</vt:lpwstr>
  </property>
  <property fmtid="{D5CDD505-2E9C-101B-9397-08002B2CF9AE}" pid="8" name="ClassificationContentMarkingFooterText">
    <vt:lpwstr>Confidential - Not for Public Consumption or Distribution</vt:lpwstr>
  </property>
  <property fmtid="{D5CDD505-2E9C-101B-9397-08002B2CF9AE}" pid="9" name="MSIP_Label_8e19d756-792e-42a1-bcad-4cb9051ddd2d_Enabled">
    <vt:lpwstr>true</vt:lpwstr>
  </property>
  <property fmtid="{D5CDD505-2E9C-101B-9397-08002B2CF9AE}" pid="10" name="MSIP_Label_8e19d756-792e-42a1-bcad-4cb9051ddd2d_SetDate">
    <vt:lpwstr>2025-06-09T13:52:51Z</vt:lpwstr>
  </property>
  <property fmtid="{D5CDD505-2E9C-101B-9397-08002B2CF9AE}" pid="11" name="MSIP_Label_8e19d756-792e-42a1-bcad-4cb9051ddd2d_Method">
    <vt:lpwstr>Standard</vt:lpwstr>
  </property>
  <property fmtid="{D5CDD505-2E9C-101B-9397-08002B2CF9AE}" pid="12" name="MSIP_Label_8e19d756-792e-42a1-bcad-4cb9051ddd2d_Name">
    <vt:lpwstr>Confidential</vt:lpwstr>
  </property>
  <property fmtid="{D5CDD505-2E9C-101B-9397-08002B2CF9AE}" pid="13" name="MSIP_Label_8e19d756-792e-42a1-bcad-4cb9051ddd2d_SiteId">
    <vt:lpwstr>41eb501a-f671-4ce0-a5bf-b64168c3705f</vt:lpwstr>
  </property>
  <property fmtid="{D5CDD505-2E9C-101B-9397-08002B2CF9AE}" pid="14" name="MSIP_Label_8e19d756-792e-42a1-bcad-4cb9051ddd2d_ActionId">
    <vt:lpwstr>e42b72e8-4114-4bfd-b026-269e6287f4e9</vt:lpwstr>
  </property>
  <property fmtid="{D5CDD505-2E9C-101B-9397-08002B2CF9AE}" pid="15" name="MSIP_Label_8e19d756-792e-42a1-bcad-4cb9051ddd2d_ContentBits">
    <vt:lpwstr>2</vt:lpwstr>
  </property>
  <property fmtid="{D5CDD505-2E9C-101B-9397-08002B2CF9AE}" pid="16" name="MSIP_Label_8e19d756-792e-42a1-bcad-4cb9051ddd2d_Tag">
    <vt:lpwstr>10, 3, 0, 1</vt:lpwstr>
  </property>
</Properties>
</file>