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Samsung ofrece un curso gratuito de Aprendizaje Basado en Proyectos para profesores de América Latina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La capacitación online forma parte del programa de Ciudadanía Corporativa Solve for Tomorrow y ofrece una certificación de 15 horas a los docentes de la región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26 de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junio de 2025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 La plataforma </w:t>
      </w:r>
      <w:hyperlink r:id="rId7">
        <w:r w:rsidDel="00000000" w:rsidR="00000000" w:rsidRPr="00000000">
          <w:rPr>
            <w:rFonts w:ascii="Arial" w:cs="Arial" w:eastAsia="Arial" w:hAnsi="Arial"/>
            <w:color w:val="467886"/>
            <w:sz w:val="20"/>
            <w:szCs w:val="20"/>
            <w:u w:val="single"/>
            <w:rtl w:val="0"/>
          </w:rPr>
          <w:t xml:space="preserve">Solve for Tomorrow Latam</w:t>
        </w:r>
      </w:hyperlink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lanza su primer curso internacional gratuito dirigido a los profesores de América Latina: “Aprendizaje basado en proyectos: un camino desde las ideas hasta la acción”. Esta formación en línea y certificada enseña a los docentes a aplicar la metodología PBL (sigla en inglés para Project Based Learning) en clase, promoviendo el protagonismo estudiantil por medio de cinco etapas prácticas.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PBL —en castellano, Aprendizaje Basado en Proyectos (ABP)— es un enfoque pedagógico que estimula a los estudiantes a resolver desafíos reales a través del trabajo colaborativo, el pensamiento crítico y la aplicación práctica de conocimientos. Al asumir un papel más activo en el proceso de aprendizaje, los estudiantes desarrollan habilidades esenciales como la creatividad, la comunicación y la superación de desafíos.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Con una duración de cinco semanas, el curso se ofrecerá en español con subtítulos en portugués, con contenidos asíncronos y webinarios en directo. Este formato permite que los participantes avancen a su propio ritmo e intercambien experiencias con educadores de toda la región.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 lo largo de la capacitación, los profesores desarrollarán un proyecto aplicable a la realidad de las escuelas donde trabajan, con el apoyo de contenidos interactivos, videos, estudios de casos y aplicación de la metodología. El proceso pedagógico se divide en cinco módulos: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Módulo 1: Introducción al PBL y evaluación continua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Módulo 2: Empatía y definición de desafíos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Módulo 3: Ideación y creación de prototipos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Módulo 4: Testeo y presentación de ideas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Módulo 5: Feedback y balance del aprendizaje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curso empieza el 18 de agosto de 2025 y, al término de las cinco semanas, los participantes recibirán el certificado de finalización del curso de 15 horas. 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Como acción complementaria al programa Samsung Solve for Tomorrow, esta iniciativa representa una oportunidad para que los maestros latinoamericanos mejoren sus prácticas docentes con una metodología innovadora, colaborativa y de impacto directo en el aprendizaje. Las plazas son limitadas y las inscripciones ya están abiertas. </w:t>
      </w:r>
      <w:hyperlink r:id="rId8">
        <w:r w:rsidDel="00000000" w:rsidR="00000000" w:rsidRPr="00000000">
          <w:rPr>
            <w:rFonts w:ascii="Arial" w:cs="Arial" w:eastAsia="Arial" w:hAnsi="Arial"/>
            <w:b w:val="1"/>
            <w:color w:val="1155cc"/>
            <w:sz w:val="20"/>
            <w:szCs w:val="20"/>
            <w:u w:val="single"/>
            <w:rtl w:val="0"/>
          </w:rPr>
          <w:t xml:space="preserve">Entra aquí </w:t>
        </w:r>
      </w:hyperlink>
      <w:hyperlink r:id="rId9">
        <w:r w:rsidDel="00000000" w:rsidR="00000000" w:rsidRPr="00000000">
          <w:rPr>
            <w:rFonts w:ascii="Arial" w:cs="Arial" w:eastAsia="Arial" w:hAnsi="Arial"/>
            <w:b w:val="1"/>
            <w:color w:val="1155cc"/>
            <w:sz w:val="20"/>
            <w:szCs w:val="20"/>
            <w:u w:val="single"/>
            <w:rtl w:val="0"/>
          </w:rPr>
          <w:t xml:space="preserve">para inscribirte</w:t>
        </w:r>
      </w:hyperlink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programa refleja el compromiso de Samsung con el fortalecimiento de la educación pública, promoviendo el protagonismo estudiantil y poniendo en valor el papel de los profesores y gestores escolares como agentes esenciales en la formación de ciudadanos conscientes, críticos y comprometidos”, explica Helvio Kanamaru, director de ESG y Ciudadanía Corporativa de Samsung para América Latina.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Acerca de Solve For Tomorrow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programa Solve for Tomorrow está presente en más de 60 países del mundo. En América Latina, el programa se encuentra en la duodécima edición y ha llegado a más de 400.000 alumnos y profesores de escuelas públicas de 21 países desde 2014. 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iniciativa da vida a actividades inspiradoras para los alumnos, como talleres, capacitación en Design Thinking y tutorías. Estas actividades preparan a los alumnos con el conocimiento y las habilidades para enfrentar desafíos sociales complejos por medio de soluciones STEM (acrónimo inglés de Ciencia, Tecnología, Ingeniería y Matemáticas), transformándolos en ciudadanos proactivos en la transformación de la sociedad en pro de un futuro mejor para todos.</w:t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Etiquetas: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Ciudadanía Corporativa, Impacto Social, Project Based Learning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sz w:val="20"/>
          <w:szCs w:val="20"/>
        </w:rPr>
      </w:pPr>
      <w:bookmarkStart w:colFirst="0" w:colLast="0" w:name="_heading=h.act2uc3abisi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###</w:t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Acerca de Samsung Electronics Co., Ltd.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Samsung inspira al mundo y diseña el futuro con ideas y tecnologías transformadoras. La compañía está redefiniendo los mundos de las TV, los smartphones, los wearables, las tablets, los electrodomésticos, los sistemas de redes y las soluciones de memoria, sistemas LSI, semiconductores y LED y ofrece una experiencia conectada perfecta por medio de su ecosistema SmartThings y la colaboración abierta con sus socios. Para conocer las últimas noticias, visite la Sala de Prensa de Samsung en</w:t>
      </w:r>
      <w:hyperlink r:id="rId10">
        <w:r w:rsidDel="00000000" w:rsidR="00000000" w:rsidRPr="00000000">
          <w:rPr>
            <w:rFonts w:ascii="Arial" w:cs="Arial" w:eastAsia="Arial" w:hAnsi="Arial"/>
            <w:color w:val="467886"/>
            <w:sz w:val="20"/>
            <w:szCs w:val="20"/>
            <w:u w:val="single"/>
            <w:rtl w:val="0"/>
          </w:rPr>
          <w:t xml:space="preserve"> http://news.samsung.com/XXXXXXX</w:t>
        </w:r>
      </w:hyperlink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headerReference r:id="rId13" w:type="even"/>
      <w:footerReference r:id="rId14" w:type="default"/>
      <w:footerReference r:id="rId15" w:type="first"/>
      <w:footerReference r:id="rId16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0</wp:posOffset>
              </wp:positionV>
              <wp:extent cx="2934335" cy="379730"/>
              <wp:effectExtent b="0" l="0" r="0" t="0"/>
              <wp:wrapNone/>
              <wp:docPr descr="Confidential - Not for Public Consumption or Distribution" id="163388155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883595" y="3594898"/>
                        <a:ext cx="292481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7.99999237060547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Confidential - Not for Public Consumption or Distribution</w:t>
                          </w:r>
                        </w:p>
                      </w:txbxContent>
                    </wps:txbx>
                    <wps:bodyPr anchorCtr="0" anchor="b" bIns="19050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0</wp:posOffset>
              </wp:positionV>
              <wp:extent cx="2934335" cy="379730"/>
              <wp:effectExtent b="0" l="0" r="0" t="0"/>
              <wp:wrapNone/>
              <wp:docPr descr="Confidential - Not for Public Consumption or Distribution" id="1633881555" name="image2.png"/>
              <a:graphic>
                <a:graphicData uri="http://schemas.openxmlformats.org/drawingml/2006/picture">
                  <pic:pic>
                    <pic:nvPicPr>
                      <pic:cNvPr descr="Confidential - Not for Public Consumption or Distribution"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34335" cy="3797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0</wp:posOffset>
              </wp:positionV>
              <wp:extent cx="2934335" cy="379730"/>
              <wp:effectExtent b="0" l="0" r="0" t="0"/>
              <wp:wrapNone/>
              <wp:docPr descr="Confidential - Not for Public Consumption or Distribution" id="1633881556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883595" y="3594898"/>
                        <a:ext cx="292481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7.99999237060547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Confidential - Not for Public Consumption or Distribution</w:t>
                          </w:r>
                        </w:p>
                      </w:txbxContent>
                    </wps:txbx>
                    <wps:bodyPr anchorCtr="0" anchor="b" bIns="19050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0</wp:posOffset>
              </wp:positionV>
              <wp:extent cx="2934335" cy="379730"/>
              <wp:effectExtent b="0" l="0" r="0" t="0"/>
              <wp:wrapNone/>
              <wp:docPr descr="Confidential - Not for Public Consumption or Distribution" id="1633881556" name="image3.png"/>
              <a:graphic>
                <a:graphicData uri="http://schemas.openxmlformats.org/drawingml/2006/picture">
                  <pic:pic>
                    <pic:nvPicPr>
                      <pic:cNvPr descr="Confidential - Not for Public Consumption or Distribution"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34335" cy="3797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0</wp:posOffset>
              </wp:positionV>
              <wp:extent cx="2934335" cy="379730"/>
              <wp:effectExtent b="0" l="0" r="0" t="0"/>
              <wp:wrapNone/>
              <wp:docPr descr="Confidential - Not for Public Consumption or Distribution" id="163388155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883595" y="3594898"/>
                        <a:ext cx="292481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7.99999237060547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Confidential - Not for Public Consumption or Distribution</w:t>
                          </w:r>
                        </w:p>
                      </w:txbxContent>
                    </wps:txbx>
                    <wps:bodyPr anchorCtr="0" anchor="b" bIns="19050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0</wp:posOffset>
              </wp:positionV>
              <wp:extent cx="2934335" cy="379730"/>
              <wp:effectExtent b="0" l="0" r="0" t="0"/>
              <wp:wrapNone/>
              <wp:docPr descr="Confidential - Not for Public Consumption or Distribution" id="1633881554" name="image1.png"/>
              <a:graphic>
                <a:graphicData uri="http://schemas.openxmlformats.org/drawingml/2006/picture">
                  <pic:pic>
                    <pic:nvPicPr>
                      <pic:cNvPr descr="Confidential - Not for Public Consumption or Distribution"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34335" cy="3797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s-ES_tradnl"/>
      </w:rPr>
    </w:rPrDefault>
    <w:pPrDefault>
      <w:pPr>
        <w:spacing w:after="160" w:line="278.0000000000000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440E7F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440E7F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440E7F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440E7F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440E7F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440E7F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440E7F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440E7F"/>
    <w:rPr>
      <w:rFonts w:cstheme="majorBidi" w:eastAsiaTheme="majorEastAsia"/>
      <w:color w:val="0f4761" w:themeColor="accent1" w:themeShade="0000BF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440E7F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440E7F"/>
    <w:rPr>
      <w:rFonts w:cstheme="majorBidi" w:eastAsiaTheme="majorEastAsia"/>
      <w:color w:val="595959" w:themeColor="text1" w:themeTint="0000A6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440E7F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440E7F"/>
    <w:rPr>
      <w:rFonts w:cstheme="majorBidi" w:eastAsiaTheme="majorEastAsia"/>
      <w:color w:val="272727" w:themeColor="text1" w:themeTint="0000D8"/>
    </w:rPr>
  </w:style>
  <w:style w:type="character" w:styleId="TtuloCar" w:customStyle="1">
    <w:name w:val="Título Car"/>
    <w:basedOn w:val="Fuentedeprrafopredeter"/>
    <w:link w:val="Ttulo"/>
    <w:uiPriority w:val="10"/>
    <w:rsid w:val="00440E7F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ar" w:customStyle="1">
    <w:name w:val="Subtítulo Car"/>
    <w:basedOn w:val="Fuentedeprrafopredeter"/>
    <w:link w:val="Subttulo"/>
    <w:uiPriority w:val="11"/>
    <w:rsid w:val="00440E7F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 w:val="1"/>
    <w:rsid w:val="00440E7F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Car" w:customStyle="1">
    <w:name w:val="Cita Car"/>
    <w:basedOn w:val="Fuentedeprrafopredeter"/>
    <w:link w:val="Cita"/>
    <w:uiPriority w:val="29"/>
    <w:rsid w:val="00440E7F"/>
    <w:rPr>
      <w:i w:val="1"/>
      <w:iCs w:val="1"/>
      <w:color w:val="404040" w:themeColor="text1" w:themeTint="0000BF"/>
    </w:rPr>
  </w:style>
  <w:style w:type="paragraph" w:styleId="Prrafodelista">
    <w:name w:val="List Paragraph"/>
    <w:basedOn w:val="Normal"/>
    <w:uiPriority w:val="34"/>
    <w:qFormat w:val="1"/>
    <w:rsid w:val="00440E7F"/>
    <w:pPr>
      <w:ind w:left="720"/>
      <w:contextualSpacing w:val="1"/>
    </w:pPr>
  </w:style>
  <w:style w:type="character" w:styleId="nfasisintenso">
    <w:name w:val="Intense Emphasis"/>
    <w:basedOn w:val="Fuentedeprrafopredeter"/>
    <w:uiPriority w:val="21"/>
    <w:qFormat w:val="1"/>
    <w:rsid w:val="00440E7F"/>
    <w:rPr>
      <w:i w:val="1"/>
      <w:iCs w:val="1"/>
      <w:color w:val="0f4761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440E7F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440E7F"/>
    <w:rPr>
      <w:i w:val="1"/>
      <w:iCs w:val="1"/>
      <w:color w:val="0f4761" w:themeColor="accent1" w:themeShade="0000BF"/>
    </w:rPr>
  </w:style>
  <w:style w:type="character" w:styleId="Referenciaintensa">
    <w:name w:val="Intense Reference"/>
    <w:basedOn w:val="Fuentedeprrafopredeter"/>
    <w:uiPriority w:val="32"/>
    <w:qFormat w:val="1"/>
    <w:rsid w:val="00440E7F"/>
    <w:rPr>
      <w:b w:val="1"/>
      <w:bCs w:val="1"/>
      <w:smallCaps w:val="1"/>
      <w:color w:val="0f4761" w:themeColor="accent1" w:themeShade="0000BF"/>
      <w:spacing w:val="5"/>
    </w:rPr>
  </w:style>
  <w:style w:type="character" w:styleId="Hipervnculo">
    <w:name w:val="Hyperlink"/>
    <w:basedOn w:val="Fuentedeprrafopredeter"/>
    <w:uiPriority w:val="99"/>
    <w:unhideWhenUsed w:val="1"/>
    <w:rsid w:val="001D7CA8"/>
    <w:rPr>
      <w:color w:val="467886" w:themeColor="hyperlink"/>
      <w:u w:val="single"/>
    </w:rPr>
  </w:style>
  <w:style w:type="character" w:styleId="MenoPendente1" w:customStyle="1">
    <w:name w:val="Menção Pendente1"/>
    <w:basedOn w:val="Fuentedeprrafopredeter"/>
    <w:uiPriority w:val="99"/>
    <w:semiHidden w:val="1"/>
    <w:unhideWhenUsed w:val="1"/>
    <w:rsid w:val="001D7CA8"/>
    <w:rPr>
      <w:color w:val="605e5c"/>
      <w:shd w:color="auto" w:fill="e1dfdd" w:val="clear"/>
    </w:rPr>
  </w:style>
  <w:style w:type="paragraph" w:styleId="Piedepgina">
    <w:name w:val="footer"/>
    <w:basedOn w:val="Normal"/>
    <w:link w:val="PiedepginaCar"/>
    <w:uiPriority w:val="99"/>
    <w:unhideWhenUsed w:val="1"/>
    <w:rsid w:val="001D7CA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1D7CA8"/>
  </w:style>
  <w:style w:type="paragraph" w:styleId="Revisin">
    <w:name w:val="Revision"/>
    <w:hidden w:val="1"/>
    <w:uiPriority w:val="99"/>
    <w:semiHidden w:val="1"/>
    <w:rsid w:val="00BD2446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D24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BD2446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D24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D2446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D2446"/>
    <w:rPr>
      <w:b w:val="1"/>
      <w:bCs w:val="1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 w:val="1"/>
    <w:rsid w:val="007D575C"/>
    <w:pPr>
      <w:tabs>
        <w:tab w:val="center" w:pos="4513"/>
        <w:tab w:val="right" w:pos="9026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7D575C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EA0407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EA0407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yperlink" Target="https://protect-eu.mimecast.com/s/Qz8-CrEwkTDpJ44Ot7tDo6?domain=news.samsung.com" TargetMode="External"/><Relationship Id="rId13" Type="http://schemas.openxmlformats.org/officeDocument/2006/relationships/header" Target="header1.xml"/><Relationship Id="rId12" Type="http://schemas.openxmlformats.org/officeDocument/2006/relationships/header" Target="head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mailchi.mp/0b03bbed0bd7/curso-pbl-inscripcion" TargetMode="External"/><Relationship Id="rId15" Type="http://schemas.openxmlformats.org/officeDocument/2006/relationships/footer" Target="footer3.xml"/><Relationship Id="rId14" Type="http://schemas.openxmlformats.org/officeDocument/2006/relationships/footer" Target="footer2.xm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solvefortomorrowlatam.com/es/" TargetMode="External"/><Relationship Id="rId8" Type="http://schemas.openxmlformats.org/officeDocument/2006/relationships/hyperlink" Target="https://mailchi.mp/0b03bbed0bd7/curso-pbl-inscripcion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fIEGnwF6bV16jcNqLe0BoJFdLA==">CgMxLjAyDmguYWN0MnVjM2FiaXNpOAByITFFUmNoNU5CY0psN0NhZG14VFhxSU9qUVpQZnc4azNUaw==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2025-06-06T21:04:00Z</dcterms:created>
  <dc:creator>Isabela Rabah (FleishmanHillard)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53d8c502,61630dd1,32dee3eb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Confidential - Not for Public Consumption or Distribution</vt:lpwstr>
  </property>
  <property fmtid="{D5CDD505-2E9C-101B-9397-08002B2CF9AE}" pid="5" name="MSIP_Label_8e19d756-792e-42a1-bcad-4cb9051ddd2d_Enabled">
    <vt:lpwstr>true</vt:lpwstr>
  </property>
  <property fmtid="{D5CDD505-2E9C-101B-9397-08002B2CF9AE}" pid="6" name="MSIP_Label_8e19d756-792e-42a1-bcad-4cb9051ddd2d_SetDate">
    <vt:lpwstr>2025-06-05T20:01:51Z</vt:lpwstr>
  </property>
  <property fmtid="{D5CDD505-2E9C-101B-9397-08002B2CF9AE}" pid="7" name="MSIP_Label_8e19d756-792e-42a1-bcad-4cb9051ddd2d_Method">
    <vt:lpwstr>Standard</vt:lpwstr>
  </property>
  <property fmtid="{D5CDD505-2E9C-101B-9397-08002B2CF9AE}" pid="8" name="MSIP_Label_8e19d756-792e-42a1-bcad-4cb9051ddd2d_Name">
    <vt:lpwstr>Confidential</vt:lpwstr>
  </property>
  <property fmtid="{D5CDD505-2E9C-101B-9397-08002B2CF9AE}" pid="9" name="MSIP_Label_8e19d756-792e-42a1-bcad-4cb9051ddd2d_SiteId">
    <vt:lpwstr>41eb501a-f671-4ce0-a5bf-b64168c3705f</vt:lpwstr>
  </property>
  <property fmtid="{D5CDD505-2E9C-101B-9397-08002B2CF9AE}" pid="10" name="MSIP_Label_8e19d756-792e-42a1-bcad-4cb9051ddd2d_ActionId">
    <vt:lpwstr>5c202aa4-9d7f-4396-a07b-e1c91f80531c</vt:lpwstr>
  </property>
  <property fmtid="{D5CDD505-2E9C-101B-9397-08002B2CF9AE}" pid="11" name="MSIP_Label_8e19d756-792e-42a1-bcad-4cb9051ddd2d_ContentBits">
    <vt:lpwstr>2</vt:lpwstr>
  </property>
  <property fmtid="{D5CDD505-2E9C-101B-9397-08002B2CF9AE}" pid="12" name="MSIP_Label_8e19d756-792e-42a1-bcad-4cb9051ddd2d_Tag">
    <vt:lpwstr>10, 3, 0, 1</vt:lpwstr>
  </property>
</Properties>
</file>