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46EA" w14:textId="77777777" w:rsidR="005A0F4E" w:rsidRDefault="00170D15">
      <w:pPr>
        <w:spacing w:before="240" w:after="240"/>
        <w:jc w:val="center"/>
        <w:rPr>
          <w:rFonts w:ascii="Arial" w:eastAsia="Arial" w:hAnsi="Arial" w:cs="Arial"/>
          <w:b/>
          <w:sz w:val="32"/>
          <w:szCs w:val="32"/>
        </w:rPr>
      </w:pPr>
      <w:r>
        <w:rPr>
          <w:rFonts w:ascii="Arial" w:eastAsia="Arial" w:hAnsi="Arial" w:cs="Arial"/>
          <w:b/>
          <w:sz w:val="32"/>
          <w:szCs w:val="32"/>
        </w:rPr>
        <w:t>Cinco videojuegos que se viven distinto en un smartphone plegable</w:t>
      </w:r>
    </w:p>
    <w:p w14:paraId="131E6883" w14:textId="77777777" w:rsidR="005A0F4E" w:rsidRDefault="00170D15">
      <w:pPr>
        <w:spacing w:before="240" w:after="240"/>
        <w:ind w:right="600"/>
        <w:jc w:val="both"/>
        <w:rPr>
          <w:rFonts w:ascii="Arial" w:eastAsia="Arial" w:hAnsi="Arial" w:cs="Arial"/>
        </w:rPr>
      </w:pPr>
      <w:r>
        <w:rPr>
          <w:rFonts w:ascii="Arial" w:eastAsia="Arial" w:hAnsi="Arial" w:cs="Arial"/>
        </w:rPr>
        <w:t xml:space="preserve">Con más espacio para el juego, mejor visibilidad y una nueva manera de interactuar con el HUD, los teléfonos plegables están cambiando la experiencia </w:t>
      </w:r>
      <w:proofErr w:type="spellStart"/>
      <w:r>
        <w:rPr>
          <w:rFonts w:ascii="Arial" w:eastAsia="Arial" w:hAnsi="Arial" w:cs="Arial"/>
        </w:rPr>
        <w:t>gamer</w:t>
      </w:r>
      <w:proofErr w:type="spellEnd"/>
      <w:r>
        <w:rPr>
          <w:rFonts w:ascii="Arial" w:eastAsia="Arial" w:hAnsi="Arial" w:cs="Arial"/>
        </w:rPr>
        <w:t xml:space="preserve"> móvil.</w:t>
      </w:r>
    </w:p>
    <w:p w14:paraId="109C137A" w14:textId="77777777" w:rsidR="005A0F4E" w:rsidRDefault="00170D15">
      <w:pPr>
        <w:spacing w:before="240" w:after="240"/>
        <w:ind w:right="600"/>
        <w:jc w:val="both"/>
        <w:rPr>
          <w:rFonts w:ascii="Arial" w:eastAsia="Arial" w:hAnsi="Arial" w:cs="Arial"/>
        </w:rPr>
      </w:pPr>
      <w:r>
        <w:rPr>
          <w:rFonts w:ascii="Arial" w:eastAsia="Arial" w:hAnsi="Arial" w:cs="Arial"/>
          <w:b/>
        </w:rPr>
        <w:t>Santiago, octubre de 2025-</w:t>
      </w:r>
      <w:r>
        <w:rPr>
          <w:rFonts w:ascii="Arial" w:eastAsia="Arial" w:hAnsi="Arial" w:cs="Arial"/>
        </w:rPr>
        <w:t xml:space="preserve"> En Chile, más de la mitad de la población (55%) juega videojuegos, y la mayoría lo hace en el teléfono. Según Kantar </w:t>
      </w:r>
      <w:proofErr w:type="spellStart"/>
      <w:r>
        <w:rPr>
          <w:rFonts w:ascii="Arial" w:eastAsia="Arial" w:hAnsi="Arial" w:cs="Arial"/>
        </w:rPr>
        <w:t>Ibope</w:t>
      </w:r>
      <w:proofErr w:type="spellEnd"/>
      <w:r>
        <w:rPr>
          <w:rFonts w:ascii="Arial" w:eastAsia="Arial" w:hAnsi="Arial" w:cs="Arial"/>
        </w:rPr>
        <w:t xml:space="preserve"> Media, el 65% de los jugadores elige el smartphone como su dispositivo principal para jugar online, muy por encima de las consolas (33%) y los computadores (32%).</w:t>
      </w:r>
    </w:p>
    <w:p w14:paraId="4EA3F767" w14:textId="77777777" w:rsidR="005A0F4E" w:rsidRDefault="00170D15">
      <w:pPr>
        <w:spacing w:before="240" w:after="240"/>
        <w:ind w:right="600"/>
        <w:jc w:val="both"/>
        <w:rPr>
          <w:rFonts w:ascii="Arial" w:eastAsia="Arial" w:hAnsi="Arial" w:cs="Arial"/>
        </w:rPr>
      </w:pPr>
      <w:r>
        <w:rPr>
          <w:rFonts w:ascii="Arial" w:eastAsia="Arial" w:hAnsi="Arial" w:cs="Arial"/>
        </w:rPr>
        <w:t xml:space="preserve">Y es que el celular dejó de ser una alternativa casual: hoy es la primera pantalla para millones de jugadores que viven las partidas desde cualquier lugar. Pero en ese universo móvil, un nuevo formato está cambiando la experiencia. </w:t>
      </w:r>
    </w:p>
    <w:p w14:paraId="0356FA38" w14:textId="77777777" w:rsidR="005A0F4E" w:rsidRDefault="00170D15">
      <w:pPr>
        <w:spacing w:before="240" w:after="240"/>
        <w:ind w:right="600"/>
        <w:jc w:val="both"/>
        <w:rPr>
          <w:rFonts w:ascii="Arial" w:eastAsia="Arial" w:hAnsi="Arial" w:cs="Arial"/>
        </w:rPr>
      </w:pPr>
      <w:r>
        <w:rPr>
          <w:rFonts w:ascii="Arial" w:eastAsia="Arial" w:hAnsi="Arial" w:cs="Arial"/>
        </w:rPr>
        <w:t>Los smartphones plegables suman más área útil, mejor visibilidad y una sensación cercana a la de una consola portátil, pero con la versatilidad del teléfono.</w:t>
      </w:r>
    </w:p>
    <w:p w14:paraId="3AC9FAFB" w14:textId="77777777" w:rsidR="005A0F4E" w:rsidRDefault="00170D15">
      <w:pPr>
        <w:spacing w:before="240" w:after="240"/>
        <w:ind w:right="600"/>
        <w:jc w:val="both"/>
        <w:rPr>
          <w:rFonts w:ascii="Arial" w:eastAsia="Arial" w:hAnsi="Arial" w:cs="Arial"/>
        </w:rPr>
      </w:pPr>
      <w:r>
        <w:rPr>
          <w:rFonts w:ascii="Arial" w:eastAsia="Arial" w:hAnsi="Arial" w:cs="Arial"/>
        </w:rPr>
        <w:t xml:space="preserve">En pantallas grandes, los mapas, los inventarios y las barras de energía dejan de estorbar; el jugador puede concentrarse en la acción sin “pellizcar” para hacer zoom ni perder información en los menús. </w:t>
      </w:r>
    </w:p>
    <w:p w14:paraId="71AE3158" w14:textId="77777777" w:rsidR="005A0F4E" w:rsidRDefault="00170D15">
      <w:pPr>
        <w:spacing w:before="240" w:after="240"/>
        <w:ind w:right="600"/>
        <w:jc w:val="both"/>
        <w:rPr>
          <w:rFonts w:ascii="Arial" w:eastAsia="Arial" w:hAnsi="Arial" w:cs="Arial"/>
        </w:rPr>
      </w:pPr>
      <w:r>
        <w:rPr>
          <w:rFonts w:ascii="Arial" w:eastAsia="Arial" w:hAnsi="Arial" w:cs="Arial"/>
        </w:rPr>
        <w:t>Y cuando se combina una pantalla amplia con tasas de actualización más altas y multitarea real, el resultado se siente como una nueva manera de jugar.</w:t>
      </w:r>
    </w:p>
    <w:p w14:paraId="42A7E5B8" w14:textId="77777777" w:rsidR="005A0F4E" w:rsidRDefault="00170D15">
      <w:pPr>
        <w:spacing w:before="240" w:after="240"/>
        <w:ind w:right="600"/>
        <w:jc w:val="both"/>
        <w:rPr>
          <w:rFonts w:ascii="Arial" w:eastAsia="Arial" w:hAnsi="Arial" w:cs="Arial"/>
          <w:b/>
        </w:rPr>
      </w:pPr>
      <w:r>
        <w:rPr>
          <w:rFonts w:ascii="Arial" w:eastAsia="Arial" w:hAnsi="Arial" w:cs="Arial"/>
          <w:b/>
        </w:rPr>
        <w:t xml:space="preserve">La experiencia de un plegable en el mundo </w:t>
      </w:r>
      <w:proofErr w:type="spellStart"/>
      <w:r>
        <w:rPr>
          <w:rFonts w:ascii="Arial" w:eastAsia="Arial" w:hAnsi="Arial" w:cs="Arial"/>
          <w:b/>
        </w:rPr>
        <w:t>gamer</w:t>
      </w:r>
      <w:proofErr w:type="spellEnd"/>
    </w:p>
    <w:p w14:paraId="3E249B49" w14:textId="77777777" w:rsidR="005A0F4E" w:rsidRDefault="00170D15">
      <w:pPr>
        <w:spacing w:before="240" w:after="240"/>
        <w:ind w:right="600"/>
        <w:jc w:val="both"/>
        <w:rPr>
          <w:rFonts w:ascii="Arial" w:eastAsia="Arial" w:hAnsi="Arial" w:cs="Arial"/>
        </w:rPr>
      </w:pPr>
      <w:r>
        <w:rPr>
          <w:rFonts w:ascii="Arial" w:eastAsia="Arial" w:hAnsi="Arial" w:cs="Arial"/>
        </w:rPr>
        <w:t>Uno de los modelos que ilustra este cambio es el Galaxy Z Fold7, que transforma el smartphone en un dispositivo de juego inmersivo. Su pantalla principal Dynamic AMOLED 2X de 8 pulgadas (1–120 Hz) ofrece una vista expandida donde el HUD —</w:t>
      </w:r>
      <w:proofErr w:type="spellStart"/>
      <w:r>
        <w:rPr>
          <w:rFonts w:ascii="Arial" w:eastAsia="Arial" w:hAnsi="Arial" w:cs="Arial"/>
        </w:rPr>
        <w:t>minimapas</w:t>
      </w:r>
      <w:proofErr w:type="spellEnd"/>
      <w:r>
        <w:rPr>
          <w:rFonts w:ascii="Arial" w:eastAsia="Arial" w:hAnsi="Arial" w:cs="Arial"/>
        </w:rPr>
        <w:t xml:space="preserve">, barras y marcadores— se distribuye con más orden. </w:t>
      </w:r>
    </w:p>
    <w:p w14:paraId="1D661863" w14:textId="77777777" w:rsidR="005A0F4E" w:rsidRDefault="00170D15">
      <w:pPr>
        <w:spacing w:before="240" w:after="240"/>
        <w:ind w:right="600"/>
        <w:jc w:val="both"/>
        <w:rPr>
          <w:rFonts w:ascii="Arial" w:eastAsia="Arial" w:hAnsi="Arial" w:cs="Arial"/>
        </w:rPr>
      </w:pPr>
      <w:r>
        <w:rPr>
          <w:rFonts w:ascii="Arial" w:eastAsia="Arial" w:hAnsi="Arial" w:cs="Arial"/>
        </w:rPr>
        <w:t xml:space="preserve">Además, su procesador Snapdragon® 8 Elite </w:t>
      </w:r>
      <w:proofErr w:type="spellStart"/>
      <w:r>
        <w:rPr>
          <w:rFonts w:ascii="Arial" w:eastAsia="Arial" w:hAnsi="Arial" w:cs="Arial"/>
        </w:rPr>
        <w:t>for</w:t>
      </w:r>
      <w:proofErr w:type="spellEnd"/>
      <w:r>
        <w:rPr>
          <w:rFonts w:ascii="Arial" w:eastAsia="Arial" w:hAnsi="Arial" w:cs="Arial"/>
        </w:rPr>
        <w:t xml:space="preserve"> Galaxy, junto con </w:t>
      </w:r>
      <w:proofErr w:type="spellStart"/>
      <w:r>
        <w:rPr>
          <w:rFonts w:ascii="Arial" w:eastAsia="Arial" w:hAnsi="Arial" w:cs="Arial"/>
        </w:rPr>
        <w:t>Wi</w:t>
      </w:r>
      <w:proofErr w:type="spellEnd"/>
      <w:r>
        <w:rPr>
          <w:rFonts w:ascii="Arial" w:eastAsia="Arial" w:hAnsi="Arial" w:cs="Arial"/>
        </w:rPr>
        <w:t xml:space="preserve">-Fi 7, 5G y batería dual de 4.400 mAh, permite sesiones prolongadas, multitarea fluida y transiciones sin interrupciones entre apps, guías o plataformas de </w:t>
      </w:r>
      <w:proofErr w:type="spellStart"/>
      <w:r>
        <w:rPr>
          <w:rFonts w:ascii="Arial" w:eastAsia="Arial" w:hAnsi="Arial" w:cs="Arial"/>
        </w:rPr>
        <w:t>streaming</w:t>
      </w:r>
      <w:proofErr w:type="spellEnd"/>
      <w:r>
        <w:rPr>
          <w:rFonts w:ascii="Arial" w:eastAsia="Arial" w:hAnsi="Arial" w:cs="Arial"/>
        </w:rPr>
        <w:t>.</w:t>
      </w:r>
    </w:p>
    <w:p w14:paraId="70C251C6" w14:textId="77777777" w:rsidR="005A0F4E" w:rsidRDefault="00170D15">
      <w:pPr>
        <w:spacing w:before="240" w:after="240"/>
        <w:ind w:right="600"/>
        <w:jc w:val="both"/>
        <w:rPr>
          <w:rFonts w:ascii="Arial" w:eastAsia="Arial" w:hAnsi="Arial" w:cs="Arial"/>
          <w:highlight w:val="yellow"/>
        </w:rPr>
      </w:pPr>
      <w:r>
        <w:rPr>
          <w:rFonts w:ascii="Arial" w:eastAsia="Arial" w:hAnsi="Arial" w:cs="Arial"/>
        </w:rPr>
        <w:t>“La pantalla de 8 pulgadas del Galaxy Z Fold7 no solo es más grande: cambia la manera en que l</w:t>
      </w:r>
      <w:r w:rsidR="00A04F1F">
        <w:rPr>
          <w:rFonts w:ascii="Arial" w:eastAsia="Arial" w:hAnsi="Arial" w:cs="Arial"/>
        </w:rPr>
        <w:t>ees y controlas el juego. Las barras de estado</w:t>
      </w:r>
      <w:r>
        <w:rPr>
          <w:rFonts w:ascii="Arial" w:eastAsia="Arial" w:hAnsi="Arial" w:cs="Arial"/>
        </w:rPr>
        <w:t xml:space="preserve"> deja</w:t>
      </w:r>
      <w:r w:rsidR="00A04F1F">
        <w:rPr>
          <w:rFonts w:ascii="Arial" w:eastAsia="Arial" w:hAnsi="Arial" w:cs="Arial"/>
        </w:rPr>
        <w:t>n</w:t>
      </w:r>
      <w:r>
        <w:rPr>
          <w:rFonts w:ascii="Arial" w:eastAsia="Arial" w:hAnsi="Arial" w:cs="Arial"/>
        </w:rPr>
        <w:t xml:space="preserve"> de estorbar, la multitarea se vuelve natural y la conectividad de última generación permite sesiones más estables y largas”, </w:t>
      </w:r>
      <w:r w:rsidRPr="008B0BBD">
        <w:rPr>
          <w:rFonts w:ascii="Arial" w:eastAsia="Arial" w:hAnsi="Arial" w:cs="Arial"/>
        </w:rPr>
        <w:t xml:space="preserve">señaló </w:t>
      </w:r>
      <w:r w:rsidR="00A04F1F" w:rsidRPr="008B0BBD">
        <w:rPr>
          <w:rFonts w:ascii="Arial" w:eastAsia="Arial" w:hAnsi="Arial" w:cs="Arial"/>
        </w:rPr>
        <w:t xml:space="preserve">Elías Inostroza, Master </w:t>
      </w:r>
      <w:proofErr w:type="spellStart"/>
      <w:r w:rsidR="00A04F1F" w:rsidRPr="008B0BBD">
        <w:rPr>
          <w:rFonts w:ascii="Arial" w:eastAsia="Arial" w:hAnsi="Arial" w:cs="Arial"/>
        </w:rPr>
        <w:t>Trainer</w:t>
      </w:r>
      <w:proofErr w:type="spellEnd"/>
      <w:r w:rsidR="00A04F1F" w:rsidRPr="008B0BBD">
        <w:rPr>
          <w:rFonts w:ascii="Arial" w:eastAsia="Arial" w:hAnsi="Arial" w:cs="Arial"/>
        </w:rPr>
        <w:t xml:space="preserve"> de Productos Móviles en</w:t>
      </w:r>
      <w:r w:rsidRPr="008B0BBD">
        <w:rPr>
          <w:rFonts w:ascii="Arial" w:eastAsia="Arial" w:hAnsi="Arial" w:cs="Arial"/>
        </w:rPr>
        <w:t xml:space="preserve"> Samsung Chile.</w:t>
      </w:r>
    </w:p>
    <w:p w14:paraId="69C80187" w14:textId="77777777" w:rsidR="005A0F4E" w:rsidRDefault="00170D15">
      <w:pPr>
        <w:spacing w:before="240" w:after="240"/>
        <w:ind w:right="600"/>
        <w:jc w:val="both"/>
        <w:rPr>
          <w:rFonts w:ascii="Arial" w:eastAsia="Arial" w:hAnsi="Arial" w:cs="Arial"/>
        </w:rPr>
      </w:pPr>
      <w:r>
        <w:rPr>
          <w:rFonts w:ascii="Arial" w:eastAsia="Arial" w:hAnsi="Arial" w:cs="Arial"/>
        </w:rPr>
        <w:t>En la marca quisieron destacar cinco títulos que se viven completamente distintos desde un teléfono plegable:</w:t>
      </w:r>
    </w:p>
    <w:p w14:paraId="38EF87C3" w14:textId="77777777" w:rsidR="005A0F4E" w:rsidRDefault="00170D15">
      <w:pPr>
        <w:spacing w:before="240" w:after="240"/>
        <w:ind w:right="600"/>
        <w:jc w:val="both"/>
        <w:rPr>
          <w:rFonts w:ascii="Arial" w:eastAsia="Arial" w:hAnsi="Arial" w:cs="Arial"/>
          <w:b/>
        </w:rPr>
      </w:pPr>
      <w:proofErr w:type="spellStart"/>
      <w:r>
        <w:rPr>
          <w:rFonts w:ascii="Arial" w:eastAsia="Arial" w:hAnsi="Arial" w:cs="Arial"/>
          <w:b/>
        </w:rPr>
        <w:t>Balatro</w:t>
      </w:r>
      <w:proofErr w:type="spellEnd"/>
      <w:r>
        <w:rPr>
          <w:rFonts w:ascii="Arial" w:eastAsia="Arial" w:hAnsi="Arial" w:cs="Arial"/>
          <w:b/>
        </w:rPr>
        <w:t>: “Lee el mazo como si fuera una mesa real”</w:t>
      </w:r>
    </w:p>
    <w:p w14:paraId="58381702" w14:textId="77777777" w:rsidR="005A0F4E" w:rsidRDefault="00170D15">
      <w:pPr>
        <w:spacing w:before="240" w:after="240"/>
        <w:ind w:right="600"/>
        <w:jc w:val="both"/>
        <w:rPr>
          <w:rFonts w:ascii="Arial" w:eastAsia="Arial" w:hAnsi="Arial" w:cs="Arial"/>
        </w:rPr>
      </w:pPr>
      <w:r>
        <w:rPr>
          <w:rFonts w:ascii="Arial" w:eastAsia="Arial" w:hAnsi="Arial" w:cs="Arial"/>
        </w:rPr>
        <w:lastRenderedPageBreak/>
        <w:t xml:space="preserve">La lectura de cartas y estadísticas en este </w:t>
      </w:r>
      <w:proofErr w:type="spellStart"/>
      <w:r w:rsidRPr="00A04F1F">
        <w:rPr>
          <w:rFonts w:ascii="Arial" w:eastAsia="Arial" w:hAnsi="Arial" w:cs="Arial"/>
          <w:i/>
        </w:rPr>
        <w:t>roguelike</w:t>
      </w:r>
      <w:proofErr w:type="spellEnd"/>
      <w:r>
        <w:rPr>
          <w:rFonts w:ascii="Arial" w:eastAsia="Arial" w:hAnsi="Arial" w:cs="Arial"/>
        </w:rPr>
        <w:t xml:space="preserve"> de construcción de mazos es mucho más clara en un formato amplio. La pantalla de 8” permite ver combinaciones y sinergias de un vistazo, sin necesidad de zoom.</w:t>
      </w:r>
    </w:p>
    <w:p w14:paraId="7AD79964" w14:textId="77777777" w:rsidR="005A0F4E" w:rsidRDefault="00170D15">
      <w:pPr>
        <w:spacing w:before="240" w:after="240"/>
        <w:ind w:right="600"/>
        <w:jc w:val="both"/>
        <w:rPr>
          <w:rFonts w:ascii="Arial" w:eastAsia="Arial" w:hAnsi="Arial" w:cs="Arial"/>
          <w:b/>
        </w:rPr>
      </w:pPr>
      <w:proofErr w:type="spellStart"/>
      <w:r>
        <w:rPr>
          <w:rFonts w:ascii="Arial" w:eastAsia="Arial" w:hAnsi="Arial" w:cs="Arial"/>
          <w:b/>
        </w:rPr>
        <w:t>Genshin</w:t>
      </w:r>
      <w:proofErr w:type="spellEnd"/>
      <w:r>
        <w:rPr>
          <w:rFonts w:ascii="Arial" w:eastAsia="Arial" w:hAnsi="Arial" w:cs="Arial"/>
          <w:b/>
        </w:rPr>
        <w:t xml:space="preserve"> </w:t>
      </w:r>
      <w:proofErr w:type="spellStart"/>
      <w:r>
        <w:rPr>
          <w:rFonts w:ascii="Arial" w:eastAsia="Arial" w:hAnsi="Arial" w:cs="Arial"/>
          <w:b/>
        </w:rPr>
        <w:t>Impact</w:t>
      </w:r>
      <w:proofErr w:type="spellEnd"/>
      <w:r>
        <w:rPr>
          <w:rFonts w:ascii="Arial" w:eastAsia="Arial" w:hAnsi="Arial" w:cs="Arial"/>
          <w:b/>
        </w:rPr>
        <w:t>: “Mundo abierto con HUD aireado”</w:t>
      </w:r>
    </w:p>
    <w:p w14:paraId="3C248039" w14:textId="77777777" w:rsidR="005A0F4E" w:rsidRDefault="00170D15">
      <w:pPr>
        <w:spacing w:before="240" w:after="240"/>
        <w:ind w:right="600"/>
        <w:jc w:val="both"/>
        <w:rPr>
          <w:rFonts w:ascii="Arial" w:eastAsia="Arial" w:hAnsi="Arial" w:cs="Arial"/>
        </w:rPr>
      </w:pPr>
      <w:r>
        <w:rPr>
          <w:rFonts w:ascii="Arial" w:eastAsia="Arial" w:hAnsi="Arial" w:cs="Arial"/>
        </w:rPr>
        <w:t>Los textos extensos, mapas y descripciones de artefactos se distribuyen mejor, y la interfaz se siente menos saturada. Ideal para explorar y planificar rutas sin alternar entre pantallas.</w:t>
      </w:r>
    </w:p>
    <w:p w14:paraId="5F57DDF3" w14:textId="77777777" w:rsidR="005A0F4E" w:rsidRDefault="00170D15">
      <w:pPr>
        <w:spacing w:before="240" w:after="240"/>
        <w:ind w:right="600"/>
        <w:jc w:val="both"/>
        <w:rPr>
          <w:rFonts w:ascii="Arial" w:eastAsia="Arial" w:hAnsi="Arial" w:cs="Arial"/>
          <w:b/>
        </w:rPr>
      </w:pPr>
      <w:proofErr w:type="spellStart"/>
      <w:r>
        <w:rPr>
          <w:rFonts w:ascii="Arial" w:eastAsia="Arial" w:hAnsi="Arial" w:cs="Arial"/>
          <w:b/>
        </w:rPr>
        <w:t>Fortnite</w:t>
      </w:r>
      <w:proofErr w:type="spellEnd"/>
      <w:r>
        <w:rPr>
          <w:rFonts w:ascii="Arial" w:eastAsia="Arial" w:hAnsi="Arial" w:cs="Arial"/>
          <w:b/>
        </w:rPr>
        <w:t>: “Construye y edita sin pelearte con los menús”</w:t>
      </w:r>
    </w:p>
    <w:p w14:paraId="48EAABE9" w14:textId="77777777" w:rsidR="005A0F4E" w:rsidRDefault="00170D15">
      <w:pPr>
        <w:spacing w:before="240" w:after="240"/>
        <w:ind w:right="600"/>
        <w:jc w:val="both"/>
        <w:rPr>
          <w:rFonts w:ascii="Arial" w:eastAsia="Arial" w:hAnsi="Arial" w:cs="Arial"/>
        </w:rPr>
      </w:pPr>
      <w:r>
        <w:rPr>
          <w:rFonts w:ascii="Arial" w:eastAsia="Arial" w:hAnsi="Arial" w:cs="Arial"/>
        </w:rPr>
        <w:t>El espacio adicional facilita ubicar los controles táctiles, la rueda de construcción y el inventario sin tapar el campo de visión. La tasa de 120 Hz se nota en la fluidez de los movimientos y el cambio de armas.</w:t>
      </w:r>
    </w:p>
    <w:p w14:paraId="6DD1F46A" w14:textId="77777777" w:rsidR="005A0F4E" w:rsidRDefault="00170D15">
      <w:pPr>
        <w:spacing w:before="240" w:after="240"/>
        <w:ind w:right="600"/>
        <w:jc w:val="both"/>
        <w:rPr>
          <w:rFonts w:ascii="Arial" w:eastAsia="Arial" w:hAnsi="Arial" w:cs="Arial"/>
          <w:b/>
        </w:rPr>
      </w:pPr>
      <w:proofErr w:type="spellStart"/>
      <w:r>
        <w:rPr>
          <w:rFonts w:ascii="Arial" w:eastAsia="Arial" w:hAnsi="Arial" w:cs="Arial"/>
          <w:b/>
        </w:rPr>
        <w:t>Call</w:t>
      </w:r>
      <w:proofErr w:type="spellEnd"/>
      <w:r>
        <w:rPr>
          <w:rFonts w:ascii="Arial" w:eastAsia="Arial" w:hAnsi="Arial" w:cs="Arial"/>
          <w:b/>
        </w:rPr>
        <w:t xml:space="preserve"> </w:t>
      </w:r>
      <w:proofErr w:type="spellStart"/>
      <w:r>
        <w:rPr>
          <w:rFonts w:ascii="Arial" w:eastAsia="Arial" w:hAnsi="Arial" w:cs="Arial"/>
          <w:b/>
        </w:rPr>
        <w:t>of</w:t>
      </w:r>
      <w:proofErr w:type="spellEnd"/>
      <w:r>
        <w:rPr>
          <w:rFonts w:ascii="Arial" w:eastAsia="Arial" w:hAnsi="Arial" w:cs="Arial"/>
          <w:b/>
        </w:rPr>
        <w:t xml:space="preserve"> </w:t>
      </w:r>
      <w:proofErr w:type="spellStart"/>
      <w:r>
        <w:rPr>
          <w:rFonts w:ascii="Arial" w:eastAsia="Arial" w:hAnsi="Arial" w:cs="Arial"/>
          <w:b/>
        </w:rPr>
        <w:t>Duty</w:t>
      </w:r>
      <w:proofErr w:type="spellEnd"/>
      <w:r>
        <w:rPr>
          <w:rFonts w:ascii="Arial" w:eastAsia="Arial" w:hAnsi="Arial" w:cs="Arial"/>
          <w:b/>
        </w:rPr>
        <w:t>®: Mobile: “</w:t>
      </w:r>
      <w:proofErr w:type="spellStart"/>
      <w:r>
        <w:rPr>
          <w:rFonts w:ascii="Arial" w:eastAsia="Arial" w:hAnsi="Arial" w:cs="Arial"/>
          <w:b/>
        </w:rPr>
        <w:t>Minimapa</w:t>
      </w:r>
      <w:proofErr w:type="spellEnd"/>
      <w:r>
        <w:rPr>
          <w:rFonts w:ascii="Arial" w:eastAsia="Arial" w:hAnsi="Arial" w:cs="Arial"/>
          <w:b/>
        </w:rPr>
        <w:t xml:space="preserve"> y marcador como en un monitor”</w:t>
      </w:r>
    </w:p>
    <w:p w14:paraId="2A9A807E" w14:textId="77777777" w:rsidR="005A0F4E" w:rsidRDefault="00170D15">
      <w:pPr>
        <w:spacing w:before="240" w:after="240"/>
        <w:ind w:right="600"/>
        <w:jc w:val="both"/>
        <w:rPr>
          <w:rFonts w:ascii="Arial" w:eastAsia="Arial" w:hAnsi="Arial" w:cs="Arial"/>
        </w:rPr>
      </w:pPr>
      <w:r>
        <w:rPr>
          <w:rFonts w:ascii="Arial" w:eastAsia="Arial" w:hAnsi="Arial" w:cs="Arial"/>
        </w:rPr>
        <w:t xml:space="preserve">El </w:t>
      </w:r>
      <w:proofErr w:type="spellStart"/>
      <w:r>
        <w:rPr>
          <w:rFonts w:ascii="Arial" w:eastAsia="Arial" w:hAnsi="Arial" w:cs="Arial"/>
        </w:rPr>
        <w:t>minimapa</w:t>
      </w:r>
      <w:proofErr w:type="spellEnd"/>
      <w:r>
        <w:rPr>
          <w:rFonts w:ascii="Arial" w:eastAsia="Arial" w:hAnsi="Arial" w:cs="Arial"/>
        </w:rPr>
        <w:t xml:space="preserve"> y la interfaz de estadísticas ganan claridad. Con más espacio, configurar controles táctiles se vuelve menos “quirúrgico” y más natural, mientras las conexiones de baja latencia mejoran la respuesta en </w:t>
      </w:r>
      <w:proofErr w:type="spellStart"/>
      <w:r>
        <w:rPr>
          <w:rFonts w:ascii="Arial" w:eastAsia="Arial" w:hAnsi="Arial" w:cs="Arial"/>
        </w:rPr>
        <w:t>ranked</w:t>
      </w:r>
      <w:proofErr w:type="spellEnd"/>
      <w:r>
        <w:rPr>
          <w:rFonts w:ascii="Arial" w:eastAsia="Arial" w:hAnsi="Arial" w:cs="Arial"/>
        </w:rPr>
        <w:t>.</w:t>
      </w:r>
    </w:p>
    <w:p w14:paraId="04403087" w14:textId="77777777" w:rsidR="005A0F4E" w:rsidRDefault="00170D15">
      <w:pPr>
        <w:spacing w:before="240" w:after="240"/>
        <w:ind w:right="600"/>
        <w:jc w:val="both"/>
        <w:rPr>
          <w:rFonts w:ascii="Arial" w:eastAsia="Arial" w:hAnsi="Arial" w:cs="Arial"/>
          <w:b/>
        </w:rPr>
      </w:pPr>
      <w:r>
        <w:rPr>
          <w:rFonts w:ascii="Arial" w:eastAsia="Arial" w:hAnsi="Arial" w:cs="Arial"/>
          <w:b/>
        </w:rPr>
        <w:t xml:space="preserve">Monster Hunter </w:t>
      </w:r>
      <w:proofErr w:type="spellStart"/>
      <w:r>
        <w:rPr>
          <w:rFonts w:ascii="Arial" w:eastAsia="Arial" w:hAnsi="Arial" w:cs="Arial"/>
          <w:b/>
        </w:rPr>
        <w:t>Wilds</w:t>
      </w:r>
      <w:proofErr w:type="spellEnd"/>
      <w:r>
        <w:rPr>
          <w:rFonts w:ascii="Arial" w:eastAsia="Arial" w:hAnsi="Arial" w:cs="Arial"/>
          <w:b/>
        </w:rPr>
        <w:t>: “Perfecto para la cacería”</w:t>
      </w:r>
    </w:p>
    <w:p w14:paraId="2D925AD9" w14:textId="77777777" w:rsidR="005A0F4E" w:rsidRDefault="00170D15">
      <w:pPr>
        <w:spacing w:before="240" w:after="240"/>
        <w:ind w:right="600"/>
        <w:jc w:val="both"/>
        <w:rPr>
          <w:rFonts w:ascii="Arial" w:eastAsia="Arial" w:hAnsi="Arial" w:cs="Arial"/>
        </w:rPr>
      </w:pPr>
      <w:r>
        <w:rPr>
          <w:rFonts w:ascii="Arial" w:eastAsia="Arial" w:hAnsi="Arial" w:cs="Arial"/>
        </w:rPr>
        <w:t xml:space="preserve">En una partida de consola o PC, el plegable puede funcionar como segunda pantalla: el árbol de armas, guías o </w:t>
      </w:r>
      <w:proofErr w:type="spellStart"/>
      <w:r>
        <w:rPr>
          <w:rFonts w:ascii="Arial" w:eastAsia="Arial" w:hAnsi="Arial" w:cs="Arial"/>
        </w:rPr>
        <w:t>builds</w:t>
      </w:r>
      <w:proofErr w:type="spellEnd"/>
      <w:r>
        <w:rPr>
          <w:rFonts w:ascii="Arial" w:eastAsia="Arial" w:hAnsi="Arial" w:cs="Arial"/>
        </w:rPr>
        <w:t xml:space="preserve"> abiertas en paralelo. También es ideal para sesiones de </w:t>
      </w:r>
      <w:proofErr w:type="spellStart"/>
      <w:r>
        <w:rPr>
          <w:rFonts w:ascii="Arial" w:eastAsia="Arial" w:hAnsi="Arial" w:cs="Arial"/>
        </w:rPr>
        <w:t>cloud</w:t>
      </w:r>
      <w:proofErr w:type="spellEnd"/>
      <w:r>
        <w:rPr>
          <w:rFonts w:ascii="Arial" w:eastAsia="Arial" w:hAnsi="Arial" w:cs="Arial"/>
        </w:rPr>
        <w:t xml:space="preserve"> </w:t>
      </w:r>
      <w:proofErr w:type="spellStart"/>
      <w:r>
        <w:rPr>
          <w:rFonts w:ascii="Arial" w:eastAsia="Arial" w:hAnsi="Arial" w:cs="Arial"/>
        </w:rPr>
        <w:t>gaming</w:t>
      </w:r>
      <w:proofErr w:type="spellEnd"/>
      <w:r>
        <w:rPr>
          <w:rFonts w:ascii="Arial" w:eastAsia="Arial" w:hAnsi="Arial" w:cs="Arial"/>
        </w:rPr>
        <w:t>, donde el espacio de lectura importa.</w:t>
      </w:r>
    </w:p>
    <w:p w14:paraId="62B40C53" w14:textId="77777777" w:rsidR="005A0F4E" w:rsidRDefault="00170D15">
      <w:pPr>
        <w:spacing w:before="240" w:after="240"/>
        <w:ind w:right="600"/>
        <w:jc w:val="both"/>
        <w:rPr>
          <w:rFonts w:ascii="Arial" w:eastAsia="Arial" w:hAnsi="Arial" w:cs="Arial"/>
          <w:b/>
        </w:rPr>
      </w:pPr>
      <w:r>
        <w:rPr>
          <w:rFonts w:ascii="Arial" w:eastAsia="Arial" w:hAnsi="Arial" w:cs="Arial"/>
          <w:b/>
        </w:rPr>
        <w:t>Jugar en formato grande, sin perder movilidad</w:t>
      </w:r>
    </w:p>
    <w:p w14:paraId="3049AFA9" w14:textId="77777777" w:rsidR="005A0F4E" w:rsidRDefault="00170D15">
      <w:pPr>
        <w:spacing w:before="240" w:after="240"/>
        <w:ind w:right="600"/>
        <w:jc w:val="both"/>
        <w:rPr>
          <w:rFonts w:ascii="Arial" w:eastAsia="Arial" w:hAnsi="Arial" w:cs="Arial"/>
        </w:rPr>
      </w:pPr>
      <w:r>
        <w:rPr>
          <w:rFonts w:ascii="Arial" w:eastAsia="Arial" w:hAnsi="Arial" w:cs="Arial"/>
        </w:rPr>
        <w:t xml:space="preserve">Además del tamaño, el formato plegable ofrece ventajas prácticas. La pantalla dividida permite mantener abierto el chat o </w:t>
      </w:r>
      <w:proofErr w:type="spellStart"/>
      <w:r>
        <w:rPr>
          <w:rFonts w:ascii="Arial" w:eastAsia="Arial" w:hAnsi="Arial" w:cs="Arial"/>
        </w:rPr>
        <w:t>Discord</w:t>
      </w:r>
      <w:proofErr w:type="spellEnd"/>
      <w:r>
        <w:rPr>
          <w:rFonts w:ascii="Arial" w:eastAsia="Arial" w:hAnsi="Arial" w:cs="Arial"/>
        </w:rPr>
        <w:t xml:space="preserve"> mientras se juega; los 120 Hz dan una sensación más fluida en combates o desplazamientos; y el sistema de carga rápida de 25 W devuelve un 50% de batería en unos 30 minutos.</w:t>
      </w:r>
    </w:p>
    <w:p w14:paraId="15E4A244" w14:textId="77777777" w:rsidR="005A0F4E" w:rsidRDefault="00170D15">
      <w:pPr>
        <w:spacing w:before="240" w:after="240"/>
        <w:ind w:right="600"/>
        <w:jc w:val="both"/>
        <w:rPr>
          <w:rFonts w:ascii="Arial" w:eastAsia="Arial" w:hAnsi="Arial" w:cs="Arial"/>
        </w:rPr>
      </w:pPr>
      <w:r>
        <w:rPr>
          <w:rFonts w:ascii="Arial" w:eastAsia="Arial" w:hAnsi="Arial" w:cs="Arial"/>
        </w:rPr>
        <w:t xml:space="preserve">Los videojuegos ya no pertenecen solo al living o a la consola. Hoy, caben en el bolsillo y se despliegan como una pantalla de ocho pulgadas. </w:t>
      </w:r>
    </w:p>
    <w:p w14:paraId="7F31C332" w14:textId="77777777" w:rsidR="005A0F4E" w:rsidRDefault="00170D15">
      <w:pPr>
        <w:spacing w:before="240" w:after="240"/>
        <w:ind w:right="600"/>
        <w:jc w:val="both"/>
        <w:rPr>
          <w:rFonts w:ascii="Arial" w:eastAsia="Arial" w:hAnsi="Arial" w:cs="Arial"/>
        </w:rPr>
      </w:pPr>
      <w:r>
        <w:rPr>
          <w:rFonts w:ascii="Arial" w:eastAsia="Arial" w:hAnsi="Arial" w:cs="Arial"/>
        </w:rPr>
        <w:t>Y es ahí donde el Galaxy Z Fold7 muestra su mejor jugada: combinar la libertad del móvil con la inmersión visual de una pantalla grande, para que cada partida se viva distinta, en cualquier lugar.</w:t>
      </w:r>
    </w:p>
    <w:p w14:paraId="331A53B8" w14:textId="77777777" w:rsidR="005A0F4E" w:rsidRDefault="00170D15">
      <w:pPr>
        <w:spacing w:line="240" w:lineRule="auto"/>
        <w:jc w:val="both"/>
        <w:rPr>
          <w:rFonts w:ascii="Arial" w:eastAsia="Arial" w:hAnsi="Arial" w:cs="Arial"/>
          <w:b/>
          <w:sz w:val="20"/>
          <w:szCs w:val="20"/>
          <w:u w:val="single"/>
        </w:rPr>
      </w:pPr>
      <w:r>
        <w:rPr>
          <w:rFonts w:ascii="Arial" w:eastAsia="Arial" w:hAnsi="Arial" w:cs="Arial"/>
          <w:b/>
          <w:sz w:val="20"/>
          <w:szCs w:val="20"/>
          <w:u w:val="single"/>
        </w:rPr>
        <w:t>Acerca de Samsung Electronics Co., Ltd.</w:t>
      </w:r>
    </w:p>
    <w:p w14:paraId="140A8BBE" w14:textId="77777777" w:rsidR="005A0F4E" w:rsidRDefault="00170D15">
      <w:pPr>
        <w:spacing w:before="240" w:after="240"/>
        <w:jc w:val="both"/>
        <w:rPr>
          <w:rFonts w:ascii="Arial" w:eastAsia="Arial" w:hAnsi="Arial" w:cs="Arial"/>
          <w:sz w:val="20"/>
          <w:szCs w:val="20"/>
        </w:rPr>
      </w:pPr>
      <w:r>
        <w:rPr>
          <w:rFonts w:ascii="Arial" w:eastAsia="Arial" w:hAnsi="Arial" w:cs="Arial"/>
          <w:sz w:val="20"/>
          <w:szCs w:val="2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w:t>
      </w:r>
      <w:proofErr w:type="spellStart"/>
      <w:r>
        <w:rPr>
          <w:rFonts w:ascii="Arial" w:eastAsia="Arial" w:hAnsi="Arial" w:cs="Arial"/>
          <w:sz w:val="20"/>
          <w:szCs w:val="20"/>
        </w:rPr>
        <w:t>SmartThings</w:t>
      </w:r>
      <w:proofErr w:type="spellEnd"/>
      <w:r>
        <w:rPr>
          <w:rFonts w:ascii="Arial" w:eastAsia="Arial" w:hAnsi="Arial" w:cs="Arial"/>
          <w:sz w:val="20"/>
          <w:szCs w:val="20"/>
        </w:rPr>
        <w:t xml:space="preserve">, la colaboración abierta con sus socios </w:t>
      </w:r>
      <w:r>
        <w:rPr>
          <w:rFonts w:ascii="Arial" w:eastAsia="Arial" w:hAnsi="Arial" w:cs="Arial"/>
          <w:sz w:val="20"/>
          <w:szCs w:val="20"/>
        </w:rPr>
        <w:lastRenderedPageBreak/>
        <w:t xml:space="preserve">y la integración de la inteligencia artificial en toda su cartera, Samsung ofrece una experiencia conectada inteligente y sin fisuras. Para conocer las últimas noticias, visita la sala de prensa de Samsung en </w:t>
      </w:r>
      <w:hyperlink r:id="rId7">
        <w:r>
          <w:rPr>
            <w:rFonts w:ascii="Arial" w:eastAsia="Arial" w:hAnsi="Arial" w:cs="Arial"/>
            <w:color w:val="1155CC"/>
            <w:sz w:val="20"/>
            <w:szCs w:val="20"/>
            <w:u w:val="single"/>
          </w:rPr>
          <w:t>news.samsung.com</w:t>
        </w:r>
      </w:hyperlink>
      <w:r>
        <w:rPr>
          <w:rFonts w:ascii="Arial" w:eastAsia="Arial" w:hAnsi="Arial" w:cs="Arial"/>
          <w:sz w:val="20"/>
          <w:szCs w:val="20"/>
        </w:rPr>
        <w:t>.</w:t>
      </w:r>
    </w:p>
    <w:p w14:paraId="739FBFF4" w14:textId="77777777" w:rsidR="005A0F4E" w:rsidRDefault="005A0F4E">
      <w:pPr>
        <w:spacing w:line="240" w:lineRule="auto"/>
        <w:jc w:val="both"/>
        <w:rPr>
          <w:rFonts w:ascii="Arial" w:eastAsia="Arial" w:hAnsi="Arial" w:cs="Arial"/>
          <w:sz w:val="20"/>
          <w:szCs w:val="20"/>
        </w:rPr>
      </w:pPr>
    </w:p>
    <w:p w14:paraId="5293DBDD" w14:textId="77777777" w:rsidR="005A0F4E" w:rsidRDefault="00170D15">
      <w:pPr>
        <w:shd w:val="clear" w:color="auto" w:fill="FFFFFF"/>
        <w:spacing w:line="240" w:lineRule="auto"/>
        <w:jc w:val="both"/>
        <w:rPr>
          <w:rFonts w:ascii="Arial" w:eastAsia="Arial" w:hAnsi="Arial" w:cs="Arial"/>
          <w:b/>
          <w:sz w:val="20"/>
          <w:szCs w:val="20"/>
          <w:u w:val="single"/>
        </w:rPr>
      </w:pPr>
      <w:r>
        <w:rPr>
          <w:rFonts w:ascii="Arial" w:eastAsia="Arial" w:hAnsi="Arial" w:cs="Arial"/>
          <w:b/>
          <w:sz w:val="20"/>
          <w:szCs w:val="20"/>
          <w:u w:val="single"/>
        </w:rPr>
        <w:t>Contacto de prensa:</w:t>
      </w:r>
    </w:p>
    <w:p w14:paraId="0D66A09A" w14:textId="77777777" w:rsidR="005A0F4E" w:rsidRDefault="00170D15">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Ejecutivo: Francisco Núñez | +56 9 72110131 | </w:t>
      </w:r>
      <w:hyperlink r:id="rId8">
        <w:r>
          <w:rPr>
            <w:rFonts w:ascii="Arial" w:eastAsia="Arial" w:hAnsi="Arial" w:cs="Arial"/>
            <w:color w:val="1155CC"/>
            <w:sz w:val="20"/>
            <w:szCs w:val="20"/>
            <w:u w:val="single"/>
          </w:rPr>
          <w:t>fnunez@urbangrupo.com</w:t>
        </w:r>
      </w:hyperlink>
    </w:p>
    <w:p w14:paraId="352BFC54" w14:textId="77777777" w:rsidR="005A0F4E" w:rsidRDefault="00170D15">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Ejecutiva: Monse Valenzuela | +569 9770 2251 | </w:t>
      </w:r>
      <w:hyperlink r:id="rId9">
        <w:r>
          <w:rPr>
            <w:rFonts w:ascii="Arial" w:eastAsia="Arial" w:hAnsi="Arial" w:cs="Arial"/>
            <w:color w:val="1155CC"/>
            <w:sz w:val="20"/>
            <w:szCs w:val="20"/>
            <w:u w:val="single"/>
          </w:rPr>
          <w:t>mvalenzuela@urbangrupo.com</w:t>
        </w:r>
      </w:hyperlink>
    </w:p>
    <w:p w14:paraId="737BE7D2" w14:textId="77777777" w:rsidR="005A0F4E" w:rsidRDefault="00170D15">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Coordinador: Sebastián Martínez | +56 9 9343 9513 | </w:t>
      </w:r>
      <w:hyperlink r:id="rId10">
        <w:r>
          <w:rPr>
            <w:rFonts w:ascii="Arial" w:eastAsia="Arial" w:hAnsi="Arial" w:cs="Arial"/>
            <w:color w:val="1155CC"/>
            <w:sz w:val="20"/>
            <w:szCs w:val="20"/>
            <w:u w:val="single"/>
          </w:rPr>
          <w:t>smartinez@urbangrupo.com</w:t>
        </w:r>
      </w:hyperlink>
    </w:p>
    <w:p w14:paraId="7379642A" w14:textId="77777777" w:rsidR="005A0F4E" w:rsidRDefault="00170D15">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Coordinador: Jonathan Valenzuela | +56 9 6169 9893 | </w:t>
      </w:r>
      <w:hyperlink r:id="rId11">
        <w:r>
          <w:rPr>
            <w:rFonts w:ascii="Arial" w:eastAsia="Arial" w:hAnsi="Arial" w:cs="Arial"/>
            <w:color w:val="1155CC"/>
            <w:sz w:val="20"/>
            <w:szCs w:val="20"/>
            <w:u w:val="single"/>
          </w:rPr>
          <w:t>jvalenzuela@urbangrupo.com</w:t>
        </w:r>
      </w:hyperlink>
    </w:p>
    <w:p w14:paraId="13048949" w14:textId="77777777" w:rsidR="005A0F4E" w:rsidRDefault="00170D15">
      <w:pPr>
        <w:shd w:val="clear" w:color="auto" w:fill="FFFFFF"/>
        <w:spacing w:line="240" w:lineRule="auto"/>
        <w:jc w:val="both"/>
        <w:rPr>
          <w:rFonts w:ascii="Arial" w:eastAsia="Arial" w:hAnsi="Arial" w:cs="Arial"/>
          <w:sz w:val="20"/>
          <w:szCs w:val="20"/>
        </w:rPr>
      </w:pPr>
      <w:r>
        <w:rPr>
          <w:rFonts w:ascii="Arial" w:eastAsia="Arial" w:hAnsi="Arial" w:cs="Arial"/>
          <w:sz w:val="20"/>
          <w:szCs w:val="20"/>
        </w:rPr>
        <w:t xml:space="preserve">Directora: María José Puhlmann | +56 9 4434 6814 | </w:t>
      </w:r>
      <w:hyperlink r:id="rId12">
        <w:r>
          <w:rPr>
            <w:rFonts w:ascii="Arial" w:eastAsia="Arial" w:hAnsi="Arial" w:cs="Arial"/>
            <w:color w:val="1155CC"/>
            <w:sz w:val="20"/>
            <w:szCs w:val="20"/>
            <w:u w:val="single"/>
          </w:rPr>
          <w:t>mpuhlmann@urbangrupo.com</w:t>
        </w:r>
      </w:hyperlink>
    </w:p>
    <w:p w14:paraId="301369E5" w14:textId="77777777" w:rsidR="005A0F4E" w:rsidRDefault="005A0F4E">
      <w:pPr>
        <w:shd w:val="clear" w:color="auto" w:fill="FFFFFF"/>
        <w:spacing w:line="240" w:lineRule="auto"/>
        <w:jc w:val="both"/>
        <w:rPr>
          <w:rFonts w:ascii="Arial" w:eastAsia="Arial" w:hAnsi="Arial" w:cs="Arial"/>
          <w:b/>
          <w:sz w:val="20"/>
          <w:szCs w:val="20"/>
        </w:rPr>
      </w:pPr>
    </w:p>
    <w:p w14:paraId="73D24EC1" w14:textId="77777777" w:rsidR="005A0F4E" w:rsidRDefault="005A0F4E">
      <w:pPr>
        <w:jc w:val="both"/>
      </w:pPr>
    </w:p>
    <w:p w14:paraId="662436C6" w14:textId="77777777" w:rsidR="005A0F4E" w:rsidRDefault="005A0F4E">
      <w:pPr>
        <w:jc w:val="both"/>
      </w:pPr>
    </w:p>
    <w:p w14:paraId="16564317" w14:textId="77777777" w:rsidR="005A0F4E" w:rsidRDefault="005A0F4E">
      <w:pPr>
        <w:jc w:val="both"/>
      </w:pPr>
    </w:p>
    <w:sectPr w:rsidR="005A0F4E">
      <w:head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F3E35" w14:textId="77777777" w:rsidR="009F62CC" w:rsidRDefault="009F62CC">
      <w:pPr>
        <w:spacing w:after="0" w:line="240" w:lineRule="auto"/>
      </w:pPr>
      <w:r>
        <w:separator/>
      </w:r>
    </w:p>
  </w:endnote>
  <w:endnote w:type="continuationSeparator" w:id="0">
    <w:p w14:paraId="681B9F68" w14:textId="77777777" w:rsidR="009F62CC" w:rsidRDefault="009F6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CD68E" w14:textId="77777777" w:rsidR="009F62CC" w:rsidRDefault="009F62CC">
      <w:pPr>
        <w:spacing w:after="0" w:line="240" w:lineRule="auto"/>
      </w:pPr>
      <w:r>
        <w:separator/>
      </w:r>
    </w:p>
  </w:footnote>
  <w:footnote w:type="continuationSeparator" w:id="0">
    <w:p w14:paraId="14549122" w14:textId="77777777" w:rsidR="009F62CC" w:rsidRDefault="009F6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B4A34" w14:textId="77777777" w:rsidR="005A0F4E" w:rsidRDefault="00170D15">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8240" behindDoc="0" locked="0" layoutInCell="1" hidden="0" allowOverlap="1" wp14:anchorId="211346CB" wp14:editId="7B8FAD23">
          <wp:simplePos x="0" y="0"/>
          <wp:positionH relativeFrom="column">
            <wp:posOffset>3943350</wp:posOffset>
          </wp:positionH>
          <wp:positionV relativeFrom="paragraph">
            <wp:posOffset>170815</wp:posOffset>
          </wp:positionV>
          <wp:extent cx="1658620" cy="254635"/>
          <wp:effectExtent l="0" t="0" r="0" b="0"/>
          <wp:wrapSquare wrapText="bothSides" distT="0" distB="0" distL="114300" distR="114300"/>
          <wp:docPr id="17"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3B1A9472" w14:textId="77777777" w:rsidR="005A0F4E" w:rsidRDefault="005A0F4E">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F4E"/>
    <w:rsid w:val="00170D15"/>
    <w:rsid w:val="005A0F4E"/>
    <w:rsid w:val="005A419A"/>
    <w:rsid w:val="0060560B"/>
    <w:rsid w:val="008B0BBD"/>
    <w:rsid w:val="009F62CC"/>
    <w:rsid w:val="00A04F1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0B90D"/>
  <w15:docId w15:val="{D77B530C-D7CD-4449-BD1A-F97D687E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pPr>
      <w:keepNext/>
      <w:keepLines/>
      <w:spacing w:before="80" w:after="40"/>
      <w:outlineLvl w:val="3"/>
    </w:pPr>
    <w:rPr>
      <w:i/>
      <w:color w:val="0F4761"/>
    </w:rPr>
  </w:style>
  <w:style w:type="paragraph" w:styleId="Ttulo5">
    <w:name w:val="heading 5"/>
    <w:basedOn w:val="Normal"/>
    <w:next w:val="Normal"/>
    <w:pPr>
      <w:keepNext/>
      <w:keepLines/>
      <w:spacing w:before="80" w:after="40"/>
      <w:outlineLvl w:val="4"/>
    </w:pPr>
    <w:rPr>
      <w:color w:val="0F4761"/>
    </w:rPr>
  </w:style>
  <w:style w:type="paragraph" w:styleId="Ttulo6">
    <w:name w:val="heading 6"/>
    <w:basedOn w:val="Normal"/>
    <w:next w:val="Normal"/>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rsid w:val="00CC1D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1D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1D0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0" w:type="dxa"/>
        <w:left w:w="0" w:type="dxa"/>
        <w:bottom w:w="0" w:type="dxa"/>
        <w:right w:w="0" w:type="dxa"/>
      </w:tblCellMar>
    </w:tblPr>
  </w:style>
  <w:style w:type="table" w:customStyle="1" w:styleId="TableNormal7">
    <w:name w:val="TableNormal"/>
    <w:tblPr>
      <w:tblCellMar>
        <w:top w:w="0" w:type="dxa"/>
        <w:left w:w="0" w:type="dxa"/>
        <w:bottom w:w="0" w:type="dxa"/>
        <w:right w:w="0" w:type="dxa"/>
      </w:tblCellMar>
    </w:tblPr>
  </w:style>
  <w:style w:type="table" w:customStyle="1" w:styleId="TableNormal8">
    <w:name w:val="TableNormal"/>
    <w:tblPr>
      <w:tblCellMar>
        <w:top w:w="0" w:type="dxa"/>
        <w:left w:w="0" w:type="dxa"/>
        <w:bottom w:w="0" w:type="dxa"/>
        <w:right w:w="0" w:type="dxa"/>
      </w:tblCellMar>
    </w:tblPr>
  </w:style>
  <w:style w:type="table" w:customStyle="1" w:styleId="TableNormal9">
    <w:name w:val="TableNormal"/>
    <w:tblPr>
      <w:tblCellMar>
        <w:top w:w="0" w:type="dxa"/>
        <w:left w:w="0" w:type="dxa"/>
        <w:bottom w:w="0" w:type="dxa"/>
        <w:right w:w="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Normal"/>
    <w:tblPr>
      <w:tblCellMar>
        <w:top w:w="0" w:type="dxa"/>
        <w:left w:w="0" w:type="dxa"/>
        <w:bottom w:w="0" w:type="dxa"/>
        <w:right w:w="0" w:type="dxa"/>
      </w:tblCellMar>
    </w:tblPr>
  </w:style>
  <w:style w:type="table" w:customStyle="1" w:styleId="TableNormalc">
    <w:name w:val="TableNormal"/>
    <w:tblPr>
      <w:tblCellMar>
        <w:top w:w="0" w:type="dxa"/>
        <w:left w:w="0" w:type="dxa"/>
        <w:bottom w:w="0" w:type="dxa"/>
        <w:right w:w="0" w:type="dxa"/>
      </w:tblCellMar>
    </w:tblPr>
  </w:style>
  <w:style w:type="table" w:customStyle="1" w:styleId="TableNormald">
    <w:name w:val="TableNormal"/>
    <w:tblPr>
      <w:tblCellMar>
        <w:top w:w="0" w:type="dxa"/>
        <w:left w:w="0" w:type="dxa"/>
        <w:bottom w:w="0" w:type="dxa"/>
        <w:right w:w="0" w:type="dxa"/>
      </w:tblCellMar>
    </w:tblPr>
  </w:style>
  <w:style w:type="character" w:customStyle="1" w:styleId="Ttulo1Car">
    <w:name w:val="Título 1 Car"/>
    <w:basedOn w:val="Fuentedeprrafopredeter"/>
    <w:uiPriority w:val="9"/>
    <w:rsid w:val="00CC1D0D"/>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uiPriority w:val="9"/>
    <w:semiHidden/>
    <w:rsid w:val="00CC1D0D"/>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uiPriority w:val="9"/>
    <w:semiHidden/>
    <w:rsid w:val="00CC1D0D"/>
    <w:rPr>
      <w:rFonts w:eastAsiaTheme="majorEastAsia" w:cstheme="majorBidi"/>
      <w:color w:val="0F4761" w:themeColor="accent1" w:themeShade="BF"/>
      <w:sz w:val="28"/>
      <w:szCs w:val="28"/>
      <w:lang w:val="en-US"/>
    </w:rPr>
  </w:style>
  <w:style w:type="character" w:customStyle="1" w:styleId="Ttulo4Car">
    <w:name w:val="Título 4 Car"/>
    <w:basedOn w:val="Fuentedeprrafopredeter"/>
    <w:uiPriority w:val="9"/>
    <w:semiHidden/>
    <w:rsid w:val="00CC1D0D"/>
    <w:rPr>
      <w:rFonts w:eastAsiaTheme="majorEastAsia" w:cstheme="majorBidi"/>
      <w:i/>
      <w:iCs/>
      <w:color w:val="0F4761" w:themeColor="accent1" w:themeShade="BF"/>
      <w:lang w:val="en-US"/>
    </w:rPr>
  </w:style>
  <w:style w:type="character" w:customStyle="1" w:styleId="Ttulo5Car">
    <w:name w:val="Título 5 Car"/>
    <w:basedOn w:val="Fuentedeprrafopredeter"/>
    <w:uiPriority w:val="9"/>
    <w:semiHidden/>
    <w:rsid w:val="00CC1D0D"/>
    <w:rPr>
      <w:rFonts w:eastAsiaTheme="majorEastAsia" w:cstheme="majorBidi"/>
      <w:color w:val="0F4761" w:themeColor="accent1" w:themeShade="BF"/>
      <w:lang w:val="en-US"/>
    </w:rPr>
  </w:style>
  <w:style w:type="character" w:customStyle="1" w:styleId="Ttulo6Car">
    <w:name w:val="Título 6 Car"/>
    <w:basedOn w:val="Fuentedeprrafopredeter"/>
    <w:uiPriority w:val="9"/>
    <w:semiHidden/>
    <w:rsid w:val="00CC1D0D"/>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CC1D0D"/>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CC1D0D"/>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CC1D0D"/>
    <w:rPr>
      <w:rFonts w:eastAsiaTheme="majorEastAsia" w:cstheme="majorBidi"/>
      <w:color w:val="272727" w:themeColor="text1" w:themeTint="D8"/>
      <w:lang w:val="en-US"/>
    </w:rPr>
  </w:style>
  <w:style w:type="character" w:customStyle="1" w:styleId="TtuloCar">
    <w:name w:val="Título Car"/>
    <w:basedOn w:val="Fuentedeprrafopredeter"/>
    <w:uiPriority w:val="10"/>
    <w:rsid w:val="00CC1D0D"/>
    <w:rPr>
      <w:rFonts w:asciiTheme="majorHAnsi" w:eastAsiaTheme="majorEastAsia" w:hAnsiTheme="majorHAnsi" w:cstheme="majorBidi"/>
      <w:spacing w:val="-10"/>
      <w:kern w:val="28"/>
      <w:sz w:val="56"/>
      <w:szCs w:val="56"/>
      <w:lang w:val="en-US"/>
    </w:rPr>
  </w:style>
  <w:style w:type="character" w:customStyle="1" w:styleId="SubttuloCar">
    <w:name w:val="Subtítulo Car"/>
    <w:basedOn w:val="Fuentedeprrafopredeter"/>
    <w:uiPriority w:val="11"/>
    <w:rsid w:val="00CC1D0D"/>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CC1D0D"/>
    <w:pPr>
      <w:spacing w:before="160"/>
      <w:jc w:val="center"/>
    </w:pPr>
    <w:rPr>
      <w:i/>
      <w:iCs/>
      <w:color w:val="404040" w:themeColor="text1" w:themeTint="BF"/>
    </w:rPr>
  </w:style>
  <w:style w:type="character" w:customStyle="1" w:styleId="CitaCar">
    <w:name w:val="Cita Car"/>
    <w:basedOn w:val="Fuentedeprrafopredeter"/>
    <w:link w:val="Cita"/>
    <w:uiPriority w:val="29"/>
    <w:rsid w:val="00CC1D0D"/>
    <w:rPr>
      <w:i/>
      <w:iCs/>
      <w:color w:val="404040" w:themeColor="text1" w:themeTint="BF"/>
      <w:lang w:val="en-US"/>
    </w:rPr>
  </w:style>
  <w:style w:type="paragraph" w:styleId="Prrafodelista">
    <w:name w:val="List Paragraph"/>
    <w:basedOn w:val="Normal"/>
    <w:uiPriority w:val="34"/>
    <w:qFormat/>
    <w:rsid w:val="00CC1D0D"/>
    <w:pPr>
      <w:ind w:left="720"/>
      <w:contextualSpacing/>
    </w:pPr>
  </w:style>
  <w:style w:type="character" w:styleId="nfasisintenso">
    <w:name w:val="Intense Emphasis"/>
    <w:basedOn w:val="Fuentedeprrafopredeter"/>
    <w:uiPriority w:val="21"/>
    <w:qFormat/>
    <w:rsid w:val="00CC1D0D"/>
    <w:rPr>
      <w:i/>
      <w:iCs/>
      <w:color w:val="0F4761" w:themeColor="accent1" w:themeShade="BF"/>
    </w:rPr>
  </w:style>
  <w:style w:type="paragraph" w:styleId="Citadestacada">
    <w:name w:val="Intense Quote"/>
    <w:basedOn w:val="Normal"/>
    <w:next w:val="Normal"/>
    <w:link w:val="CitadestacadaCar"/>
    <w:uiPriority w:val="30"/>
    <w:qFormat/>
    <w:rsid w:val="00CC1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1D0D"/>
    <w:rPr>
      <w:i/>
      <w:iCs/>
      <w:color w:val="0F4761" w:themeColor="accent1" w:themeShade="BF"/>
      <w:lang w:val="en-US"/>
    </w:rPr>
  </w:style>
  <w:style w:type="character" w:styleId="Referenciaintensa">
    <w:name w:val="Intense Reference"/>
    <w:basedOn w:val="Fuentedeprrafopredeter"/>
    <w:uiPriority w:val="32"/>
    <w:qFormat/>
    <w:rsid w:val="00CC1D0D"/>
    <w:rPr>
      <w:b/>
      <w:bCs/>
      <w:smallCaps/>
      <w:color w:val="0F4761" w:themeColor="accent1" w:themeShade="BF"/>
      <w:spacing w:val="5"/>
    </w:rPr>
  </w:style>
  <w:style w:type="paragraph" w:styleId="Encabezado">
    <w:name w:val="header"/>
    <w:basedOn w:val="Normal"/>
    <w:link w:val="EncabezadoCar"/>
    <w:uiPriority w:val="99"/>
    <w:unhideWhenUsed/>
    <w:rsid w:val="004439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394F"/>
    <w:rPr>
      <w:lang w:val="en-US"/>
    </w:rPr>
  </w:style>
  <w:style w:type="paragraph" w:styleId="Piedepgina">
    <w:name w:val="footer"/>
    <w:basedOn w:val="Normal"/>
    <w:link w:val="PiedepginaCar"/>
    <w:uiPriority w:val="99"/>
    <w:unhideWhenUsed/>
    <w:rsid w:val="004439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394F"/>
    <w:rPr>
      <w:lang w:val="en-US"/>
    </w:rPr>
  </w:style>
  <w:style w:type="character" w:styleId="Refdecomentario">
    <w:name w:val="annotation reference"/>
    <w:basedOn w:val="Fuentedeprrafopredeter"/>
    <w:uiPriority w:val="99"/>
    <w:semiHidden/>
    <w:unhideWhenUsed/>
    <w:rsid w:val="00436DBF"/>
    <w:rPr>
      <w:sz w:val="16"/>
      <w:szCs w:val="16"/>
    </w:rPr>
  </w:style>
  <w:style w:type="paragraph" w:styleId="Textocomentario">
    <w:name w:val="annotation text"/>
    <w:basedOn w:val="Normal"/>
    <w:link w:val="TextocomentarioCar"/>
    <w:uiPriority w:val="99"/>
    <w:semiHidden/>
    <w:unhideWhenUsed/>
    <w:rsid w:val="00436D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36DBF"/>
    <w:rPr>
      <w:sz w:val="20"/>
      <w:szCs w:val="20"/>
    </w:rPr>
  </w:style>
  <w:style w:type="paragraph" w:styleId="Asuntodelcomentario">
    <w:name w:val="annotation subject"/>
    <w:basedOn w:val="Textocomentario"/>
    <w:next w:val="Textocomentario"/>
    <w:link w:val="AsuntodelcomentarioCar"/>
    <w:uiPriority w:val="99"/>
    <w:semiHidden/>
    <w:unhideWhenUsed/>
    <w:rsid w:val="00436DBF"/>
    <w:rPr>
      <w:b/>
      <w:bCs/>
    </w:rPr>
  </w:style>
  <w:style w:type="character" w:customStyle="1" w:styleId="AsuntodelcomentarioCar">
    <w:name w:val="Asunto del comentario Car"/>
    <w:basedOn w:val="TextocomentarioCar"/>
    <w:link w:val="Asuntodelcomentario"/>
    <w:uiPriority w:val="99"/>
    <w:semiHidden/>
    <w:rsid w:val="00436DBF"/>
    <w:rPr>
      <w:b/>
      <w:bCs/>
      <w:sz w:val="20"/>
      <w:szCs w:val="20"/>
    </w:rPr>
  </w:style>
  <w:style w:type="paragraph" w:styleId="Textodeglobo">
    <w:name w:val="Balloon Text"/>
    <w:basedOn w:val="Normal"/>
    <w:link w:val="TextodegloboCar"/>
    <w:uiPriority w:val="99"/>
    <w:semiHidden/>
    <w:unhideWhenUsed/>
    <w:rsid w:val="00436DB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6DBF"/>
    <w:rPr>
      <w:rFonts w:ascii="Segoe UI" w:hAnsi="Segoe UI" w:cs="Segoe UI"/>
      <w:sz w:val="18"/>
      <w:szCs w:val="18"/>
    </w:rPr>
  </w:style>
  <w:style w:type="character" w:styleId="Hipervnculo">
    <w:name w:val="Hyperlink"/>
    <w:basedOn w:val="Fuentedeprrafopredeter"/>
    <w:uiPriority w:val="99"/>
    <w:unhideWhenUsed/>
    <w:rsid w:val="002F47B8"/>
    <w:rPr>
      <w:color w:val="467886" w:themeColor="hyperlink"/>
      <w:u w:val="single"/>
    </w:rPr>
  </w:style>
  <w:style w:type="character" w:styleId="Hipervnculovisitado">
    <w:name w:val="FollowedHyperlink"/>
    <w:basedOn w:val="Fuentedeprrafopredeter"/>
    <w:uiPriority w:val="99"/>
    <w:semiHidden/>
    <w:unhideWhenUsed/>
    <w:rsid w:val="002F47B8"/>
    <w:rPr>
      <w:color w:val="96607D" w:themeColor="followedHyperlink"/>
      <w:u w:val="single"/>
    </w:rPr>
  </w:style>
  <w:style w:type="paragraph" w:styleId="Subttulo">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nunez@urbangrupo.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news.samsung.com" TargetMode="External"/><Relationship Id="rId12" Type="http://schemas.openxmlformats.org/officeDocument/2006/relationships/hyperlink" Target="mailto:mpuhlmann@urbangrupo.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valenzuela@urbangrupo.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martinez@urbangrupo.com" TargetMode="External"/><Relationship Id="rId4" Type="http://schemas.openxmlformats.org/officeDocument/2006/relationships/webSettings" Target="webSettings.xml"/><Relationship Id="rId9" Type="http://schemas.openxmlformats.org/officeDocument/2006/relationships/hyperlink" Target="mailto:mvalenzuela@urbangrup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XblcmagXGyKZJbemiQOYAcl4Ew==">CgMxLjA4AHIhMXY3elhqYWRQLWJ2SkpkZ1czYnJQeHA5ODljRUNlZFhV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906</Words>
  <Characters>4984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Monserrat Valenzuela</dc:creator>
  <cp:lastModifiedBy>Jonathan Valenzuela</cp:lastModifiedBy>
  <cp:revision>4</cp:revision>
  <dcterms:created xsi:type="dcterms:W3CDTF">2025-10-07T21:22:00Z</dcterms:created>
  <dcterms:modified xsi:type="dcterms:W3CDTF">2025-10-15T17:42:00Z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