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263B9" w:rsidRDefault="00000000">
      <w:pPr>
        <w:jc w:val="center"/>
        <w:rPr>
          <w:rFonts w:ascii="Arial" w:eastAsia="Arial" w:hAnsi="Arial" w:cs="Arial"/>
          <w:b/>
          <w:bCs/>
          <w:sz w:val="28"/>
          <w:szCs w:val="28"/>
        </w:rPr>
      </w:pPr>
      <w:r>
        <w:rPr>
          <w:rFonts w:ascii="Arial" w:eastAsia="Arial" w:hAnsi="Arial" w:cs="Arial"/>
          <w:b/>
          <w:bCs/>
          <w:sz w:val="28"/>
          <w:szCs w:val="28"/>
        </w:rPr>
        <w:t>Slavný obraz z Lobkowiczkého paláce na Pražském hradě střídá digitální technologie. Samsung The Frame dočasně nahradí vzácné dílo zapůjčené do Vídně</w:t>
      </w:r>
    </w:p>
    <w:p w:rsidR="002263B9" w:rsidRDefault="002263B9">
      <w:pPr>
        <w:jc w:val="center"/>
        <w:rPr>
          <w:rFonts w:ascii="Arial" w:eastAsia="Arial" w:hAnsi="Arial" w:cs="Arial"/>
          <w:b/>
          <w:bCs/>
          <w:sz w:val="28"/>
          <w:szCs w:val="28"/>
        </w:rPr>
      </w:pPr>
    </w:p>
    <w:p w:rsidR="002263B9" w:rsidRDefault="00000000">
      <w:pPr>
        <w:jc w:val="center"/>
        <w:rPr>
          <w:rFonts w:ascii="Arial" w:eastAsia="Arial" w:hAnsi="Arial" w:cs="Arial"/>
          <w:i/>
          <w:iCs/>
          <w:sz w:val="22"/>
          <w:szCs w:val="22"/>
        </w:rPr>
      </w:pPr>
      <w:r>
        <w:rPr>
          <w:rFonts w:ascii="Arial" w:eastAsia="Arial" w:hAnsi="Arial" w:cs="Arial"/>
          <w:i/>
          <w:iCs/>
          <w:sz w:val="22"/>
          <w:szCs w:val="22"/>
        </w:rPr>
        <w:t>Návštěvníci Lobkowiczkého paláce na Pražském hradě o zážitek nepřijdou ani poté, co jeden z jeho nejslavnějších obrazů odjel na výstavu do Vídně. V expozici ho totiž nahradila velkofo</w:t>
      </w:r>
      <w:r w:rsidR="00733545">
        <w:rPr>
          <w:rFonts w:ascii="Arial" w:eastAsia="Arial" w:hAnsi="Arial" w:cs="Arial"/>
          <w:i/>
          <w:iCs/>
          <w:sz w:val="22"/>
          <w:szCs w:val="22"/>
        </w:rPr>
        <w:t>r</w:t>
      </w:r>
      <w:r>
        <w:rPr>
          <w:rFonts w:ascii="Arial" w:eastAsia="Arial" w:hAnsi="Arial" w:cs="Arial"/>
          <w:i/>
          <w:iCs/>
          <w:sz w:val="22"/>
          <w:szCs w:val="22"/>
        </w:rPr>
        <w:t xml:space="preserve">mátová obrazovka Samsung The Frame s úhlopříčkou 85 palců. Díky matnému displeji a vysokému rozlišení působí digitální kopie jako skutečná malba a lidé si ji </w:t>
      </w:r>
      <w:r w:rsidR="00A63BF1">
        <w:rPr>
          <w:rFonts w:ascii="Arial" w:eastAsia="Arial" w:hAnsi="Arial" w:cs="Arial"/>
          <w:i/>
          <w:iCs/>
          <w:sz w:val="22"/>
          <w:szCs w:val="22"/>
        </w:rPr>
        <w:t>můžou prohlédnout</w:t>
      </w:r>
      <w:r>
        <w:rPr>
          <w:rFonts w:ascii="Arial" w:eastAsia="Arial" w:hAnsi="Arial" w:cs="Arial"/>
          <w:i/>
          <w:iCs/>
          <w:sz w:val="22"/>
          <w:szCs w:val="22"/>
        </w:rPr>
        <w:t xml:space="preserve"> v téměř životní velikosti.</w:t>
      </w:r>
    </w:p>
    <w:p w:rsidR="002263B9" w:rsidRDefault="002263B9">
      <w:pPr>
        <w:jc w:val="center"/>
        <w:rPr>
          <w:rFonts w:ascii="Arial" w:eastAsia="Arial" w:hAnsi="Arial" w:cs="Arial"/>
          <w:sz w:val="22"/>
          <w:szCs w:val="22"/>
        </w:rPr>
      </w:pPr>
    </w:p>
    <w:p w:rsidR="002263B9" w:rsidRDefault="00000000">
      <w:pPr>
        <w:widowControl w:val="0"/>
        <w:pBdr>
          <w:top w:val="nil"/>
          <w:left w:val="nil"/>
          <w:bottom w:val="nil"/>
          <w:right w:val="nil"/>
          <w:between w:val="nil"/>
        </w:pBdr>
        <w:spacing w:line="300" w:lineRule="auto"/>
        <w:jc w:val="both"/>
        <w:rPr>
          <w:rFonts w:ascii="Arial" w:eastAsia="Arial" w:hAnsi="Arial" w:cs="Arial"/>
          <w:b/>
          <w:bCs/>
          <w:color w:val="000000"/>
          <w:sz w:val="22"/>
          <w:szCs w:val="22"/>
        </w:rPr>
      </w:pPr>
      <w:r>
        <w:rPr>
          <w:rFonts w:ascii="Arial" w:eastAsia="Arial" w:hAnsi="Arial" w:cs="Arial"/>
          <w:b/>
          <w:bCs/>
          <w:color w:val="000000"/>
          <w:sz w:val="22"/>
          <w:szCs w:val="22"/>
        </w:rPr>
        <w:t xml:space="preserve">Praha </w:t>
      </w:r>
      <w:r w:rsidR="00951B93">
        <w:rPr>
          <w:rFonts w:ascii="Arial" w:eastAsia="Arial" w:hAnsi="Arial" w:cs="Arial"/>
          <w:b/>
          <w:bCs/>
          <w:color w:val="000000"/>
          <w:sz w:val="22"/>
          <w:szCs w:val="22"/>
        </w:rPr>
        <w:t>30</w:t>
      </w:r>
      <w:r>
        <w:rPr>
          <w:rFonts w:ascii="Arial" w:eastAsia="Arial" w:hAnsi="Arial" w:cs="Arial"/>
          <w:b/>
          <w:bCs/>
          <w:color w:val="000000"/>
          <w:sz w:val="22"/>
          <w:szCs w:val="22"/>
        </w:rPr>
        <w:t>. března 2026 – Společnost Samsung Electronics propojuje historii s moderními technologiemi. Nyní česká pobočka Samsungu propůjčuje svou technologii organizaci House of Lobkowicz, která zastřešuje neziskovou organizaci Lobkowiczké sbírky. Zatímco jeden z jej</w:t>
      </w:r>
      <w:r w:rsidRPr="00A63BF1">
        <w:rPr>
          <w:rFonts w:ascii="Arial" w:eastAsia="Arial" w:hAnsi="Arial" w:cs="Arial"/>
          <w:b/>
          <w:bCs/>
          <w:sz w:val="22"/>
          <w:szCs w:val="22"/>
        </w:rPr>
        <w:t>í</w:t>
      </w:r>
      <w:r>
        <w:rPr>
          <w:rFonts w:ascii="Arial" w:eastAsia="Arial" w:hAnsi="Arial" w:cs="Arial"/>
          <w:b/>
          <w:bCs/>
          <w:color w:val="000000"/>
          <w:sz w:val="22"/>
          <w:szCs w:val="22"/>
        </w:rPr>
        <w:t xml:space="preserve">ch nejvzácnějších obrazů míří na mezinárodní výstavu v Kunsthistorisches Museum Wien (KHM), v domácí galerii </w:t>
      </w:r>
      <w:r w:rsidRPr="00A63BF1">
        <w:rPr>
          <w:rFonts w:ascii="Arial" w:eastAsia="Arial" w:hAnsi="Arial" w:cs="Arial"/>
          <w:b/>
          <w:bCs/>
          <w:sz w:val="22"/>
          <w:szCs w:val="22"/>
        </w:rPr>
        <w:t>ho</w:t>
      </w:r>
      <w:r>
        <w:rPr>
          <w:rFonts w:ascii="Arial" w:eastAsia="Arial" w:hAnsi="Arial" w:cs="Arial"/>
          <w:b/>
          <w:bCs/>
          <w:color w:val="000000"/>
          <w:sz w:val="22"/>
          <w:szCs w:val="22"/>
        </w:rPr>
        <w:t xml:space="preserve"> zastoupí </w:t>
      </w:r>
      <w:r w:rsidRPr="00A63BF1">
        <w:rPr>
          <w:rFonts w:ascii="Arial" w:eastAsia="Arial" w:hAnsi="Arial" w:cs="Arial"/>
          <w:b/>
          <w:bCs/>
          <w:sz w:val="22"/>
          <w:szCs w:val="22"/>
        </w:rPr>
        <w:t>a</w:t>
      </w:r>
      <w:r>
        <w:rPr>
          <w:rFonts w:ascii="Arial" w:eastAsia="Arial" w:hAnsi="Arial" w:cs="Arial"/>
          <w:b/>
          <w:bCs/>
          <w:color w:val="000000"/>
          <w:sz w:val="22"/>
          <w:szCs w:val="22"/>
        </w:rPr>
        <w:t>rt televizor The Frame. Tato spolupráce umožňuje návštěvníkům zkoumat detaily v muzejní kvalitě a pomocí digitálního obsahu vypráví fascinující historii díla i v době, kdy se originál nachází v cizině.</w:t>
      </w:r>
    </w:p>
    <w:p w:rsidR="002263B9" w:rsidRDefault="002263B9">
      <w:pPr>
        <w:widowControl w:val="0"/>
        <w:pBdr>
          <w:top w:val="nil"/>
          <w:left w:val="nil"/>
          <w:bottom w:val="nil"/>
          <w:right w:val="nil"/>
          <w:between w:val="nil"/>
        </w:pBdr>
        <w:spacing w:line="300" w:lineRule="auto"/>
        <w:jc w:val="both"/>
        <w:rPr>
          <w:rFonts w:ascii="Arial" w:eastAsia="Arial" w:hAnsi="Arial" w:cs="Arial"/>
          <w:b/>
          <w:bCs/>
          <w:color w:val="000000"/>
          <w:sz w:val="22"/>
          <w:szCs w:val="22"/>
          <w:highlight w:val="white"/>
        </w:rPr>
      </w:pPr>
    </w:p>
    <w:p w:rsidR="002263B9" w:rsidRDefault="00000000">
      <w:pPr>
        <w:widowControl w:val="0"/>
        <w:pBdr>
          <w:top w:val="nil"/>
          <w:left w:val="nil"/>
          <w:bottom w:val="nil"/>
          <w:right w:val="nil"/>
          <w:between w:val="nil"/>
        </w:pBdr>
        <w:spacing w:line="300" w:lineRule="auto"/>
        <w:jc w:val="both"/>
        <w:rPr>
          <w:rFonts w:ascii="Arial" w:eastAsia="Arial" w:hAnsi="Arial" w:cs="Arial"/>
          <w:color w:val="000000"/>
          <w:sz w:val="20"/>
          <w:szCs w:val="20"/>
        </w:rPr>
      </w:pPr>
      <w:r>
        <w:rPr>
          <w:rFonts w:ascii="Arial" w:eastAsia="Arial" w:hAnsi="Arial" w:cs="Arial"/>
          <w:color w:val="000000"/>
          <w:sz w:val="20"/>
          <w:szCs w:val="20"/>
        </w:rPr>
        <w:t xml:space="preserve">Televizory Samsung The Frame věrně napodobují strukturu plátna i tahy štětce. Matný povrch rozptyluje okolní světlo tak dokonale, že </w:t>
      </w:r>
      <w:r w:rsidR="00A63BF1" w:rsidRPr="00A63BF1">
        <w:rPr>
          <w:rFonts w:ascii="Arial" w:eastAsia="Arial" w:hAnsi="Arial" w:cs="Arial"/>
          <w:sz w:val="20"/>
          <w:szCs w:val="20"/>
        </w:rPr>
        <w:t>televizor</w:t>
      </w:r>
      <w:r w:rsidR="009560D1">
        <w:rPr>
          <w:rFonts w:ascii="Arial" w:eastAsia="Arial" w:hAnsi="Arial" w:cs="Arial"/>
          <w:sz w:val="20"/>
          <w:szCs w:val="20"/>
        </w:rPr>
        <w:t xml:space="preserve"> působí </w:t>
      </w:r>
      <w:r w:rsidR="00A63BF1">
        <w:rPr>
          <w:rFonts w:ascii="Arial" w:eastAsia="Arial" w:hAnsi="Arial" w:cs="Arial"/>
          <w:color w:val="000000"/>
          <w:sz w:val="20"/>
          <w:szCs w:val="20"/>
        </w:rPr>
        <w:t>téměř</w:t>
      </w:r>
      <w:r>
        <w:rPr>
          <w:rFonts w:ascii="Arial" w:eastAsia="Arial" w:hAnsi="Arial" w:cs="Arial"/>
          <w:color w:val="000000"/>
          <w:sz w:val="20"/>
          <w:szCs w:val="20"/>
        </w:rPr>
        <w:t xml:space="preserve"> k nerozeznání od skutečného</w:t>
      </w:r>
      <w:r w:rsidR="009560D1">
        <w:rPr>
          <w:rFonts w:ascii="Arial" w:eastAsia="Arial" w:hAnsi="Arial" w:cs="Arial"/>
          <w:color w:val="000000"/>
          <w:sz w:val="20"/>
          <w:szCs w:val="20"/>
        </w:rPr>
        <w:t xml:space="preserve"> obrazu</w:t>
      </w:r>
      <w:r>
        <w:rPr>
          <w:rFonts w:ascii="Arial" w:eastAsia="Arial" w:hAnsi="Arial" w:cs="Arial"/>
          <w:color w:val="000000"/>
          <w:sz w:val="20"/>
          <w:szCs w:val="20"/>
        </w:rPr>
        <w:t xml:space="preserve">. Speciální design s vyměnitelnými rámy navíc televizor promění v digitální obraz, který přirozeně zapadne do historických sálů paláce. </w:t>
      </w:r>
      <w:r w:rsidR="006C1AD7" w:rsidRPr="006C1AD7">
        <w:rPr>
          <w:rFonts w:ascii="Arial" w:eastAsia="Arial" w:hAnsi="Arial" w:cs="Arial"/>
          <w:color w:val="000000"/>
          <w:sz w:val="20"/>
          <w:szCs w:val="20"/>
        </w:rPr>
        <w:t>Díky Obchodu s uměním Samsung Art Store nabízí televizory přes 5 000 děl světových mistrů z galerií jako jsou Louvre či Metropolitní muzeum umění</w:t>
      </w:r>
      <w:r>
        <w:rPr>
          <w:rFonts w:ascii="Arial" w:eastAsia="Arial" w:hAnsi="Arial" w:cs="Arial"/>
          <w:color w:val="000000"/>
          <w:sz w:val="20"/>
          <w:szCs w:val="20"/>
        </w:rPr>
        <w:t>. Návštěvníci tak uvidí největší dostupný model tohoto uměleckého televizoru, který navíc ukazuje cestu obrazu historií až po jeho současný veřejný návrat do Vídně, kde už dříve v soukromí tamního Lobkowiczkého paláce visel.</w:t>
      </w:r>
    </w:p>
    <w:p w:rsidR="002263B9" w:rsidRDefault="002263B9">
      <w:pPr>
        <w:widowControl w:val="0"/>
        <w:pBdr>
          <w:top w:val="nil"/>
          <w:left w:val="nil"/>
          <w:bottom w:val="nil"/>
          <w:right w:val="nil"/>
          <w:between w:val="nil"/>
        </w:pBdr>
        <w:spacing w:line="300" w:lineRule="auto"/>
        <w:jc w:val="both"/>
        <w:rPr>
          <w:rFonts w:ascii="Arial" w:eastAsia="Arial" w:hAnsi="Arial" w:cs="Arial"/>
          <w:color w:val="000000"/>
          <w:sz w:val="20"/>
          <w:szCs w:val="20"/>
        </w:rPr>
      </w:pPr>
    </w:p>
    <w:p w:rsidR="002263B9" w:rsidRDefault="00A63BF1">
      <w:pPr>
        <w:widowControl w:val="0"/>
        <w:pBdr>
          <w:top w:val="nil"/>
          <w:left w:val="nil"/>
          <w:bottom w:val="nil"/>
          <w:right w:val="nil"/>
          <w:between w:val="nil"/>
        </w:pBdr>
        <w:spacing w:line="300" w:lineRule="auto"/>
        <w:jc w:val="both"/>
        <w:rPr>
          <w:rFonts w:ascii="Arial" w:eastAsia="Arial" w:hAnsi="Arial" w:cs="Arial"/>
          <w:color w:val="000000"/>
          <w:sz w:val="20"/>
          <w:szCs w:val="20"/>
        </w:rPr>
      </w:pPr>
      <w:r w:rsidRPr="00A63BF1">
        <w:rPr>
          <w:rFonts w:ascii="Arial" w:eastAsia="Arial" w:hAnsi="Arial" w:cs="Arial"/>
          <w:i/>
          <w:iCs/>
          <w:color w:val="000000"/>
          <w:sz w:val="20"/>
          <w:szCs w:val="20"/>
        </w:rPr>
        <w:t>„Velmi si vážíme spolupráce se společností Samsung. Kurátoři budou vždy stát před citlivou otázkou, zda a jak nahrazovat originální umělecká díla novými technologiemi – vždyť ona slavná ‚aura‘, o níž píše významný filozof Walter Benjamin, se v těchto případech nevyhnutelně proměňuje v pixely. O to víc oceňujeme, že například Canalettův obraz dokáže díky mimořádné kvalitě reprodukce na obrazovce The Frame návštěvníky skutečně zaujmout. Originál samozřejmě nikdy nelze plně nahradit, ale pokud jej na omezenou dobu citlivě zastoupíme, návštěvníci nepřijdou o příběh, který dílo vypráví,</w:t>
      </w:r>
      <w:r w:rsidR="00733545">
        <w:rPr>
          <w:rFonts w:ascii="Arial" w:eastAsia="Arial" w:hAnsi="Arial" w:cs="Arial"/>
          <w:i/>
          <w:iCs/>
          <w:color w:val="000000"/>
          <w:sz w:val="20"/>
          <w:szCs w:val="20"/>
        </w:rPr>
        <w:t>“</w:t>
      </w:r>
      <w:r>
        <w:rPr>
          <w:rFonts w:ascii="Arial" w:eastAsia="Arial" w:hAnsi="Arial" w:cs="Arial"/>
          <w:color w:val="000000"/>
          <w:sz w:val="20"/>
          <w:szCs w:val="20"/>
        </w:rPr>
        <w:t xml:space="preserve"> vysvětluje ředitelka Lobkowiczkých sbírek </w:t>
      </w:r>
      <w:r w:rsidRPr="00A63BF1">
        <w:rPr>
          <w:rFonts w:ascii="Arial" w:eastAsia="Arial" w:hAnsi="Arial" w:cs="Arial"/>
          <w:b/>
          <w:bCs/>
          <w:color w:val="000000"/>
          <w:sz w:val="20"/>
          <w:szCs w:val="20"/>
        </w:rPr>
        <w:t>Dita Baker</w:t>
      </w:r>
      <w:r>
        <w:rPr>
          <w:rFonts w:ascii="Arial" w:eastAsia="Arial" w:hAnsi="Arial" w:cs="Arial"/>
          <w:color w:val="000000"/>
          <w:sz w:val="20"/>
          <w:szCs w:val="20"/>
        </w:rPr>
        <w:t>.</w:t>
      </w:r>
    </w:p>
    <w:p w:rsidR="002263B9" w:rsidRDefault="002263B9">
      <w:pPr>
        <w:widowControl w:val="0"/>
        <w:pBdr>
          <w:top w:val="nil"/>
          <w:left w:val="nil"/>
          <w:bottom w:val="nil"/>
          <w:right w:val="nil"/>
          <w:between w:val="nil"/>
        </w:pBdr>
        <w:spacing w:line="300" w:lineRule="auto"/>
        <w:jc w:val="both"/>
        <w:rPr>
          <w:rFonts w:ascii="Arial" w:eastAsia="Arial" w:hAnsi="Arial" w:cs="Arial"/>
          <w:color w:val="000000"/>
          <w:sz w:val="20"/>
          <w:szCs w:val="20"/>
        </w:rPr>
      </w:pPr>
    </w:p>
    <w:p w:rsidR="002263B9" w:rsidRDefault="00000000">
      <w:pPr>
        <w:widowControl w:val="0"/>
        <w:pBdr>
          <w:top w:val="nil"/>
          <w:left w:val="nil"/>
          <w:bottom w:val="nil"/>
          <w:right w:val="nil"/>
          <w:between w:val="nil"/>
        </w:pBdr>
        <w:spacing w:line="300" w:lineRule="auto"/>
        <w:jc w:val="both"/>
        <w:rPr>
          <w:rFonts w:ascii="Arial" w:eastAsia="Arial" w:hAnsi="Arial" w:cs="Arial"/>
          <w:color w:val="000000"/>
          <w:sz w:val="20"/>
          <w:szCs w:val="20"/>
        </w:rPr>
      </w:pPr>
      <w:r>
        <w:rPr>
          <w:rFonts w:ascii="Arial" w:eastAsia="Arial" w:hAnsi="Arial" w:cs="Arial"/>
          <w:color w:val="000000"/>
          <w:sz w:val="20"/>
          <w:szCs w:val="20"/>
        </w:rPr>
        <w:t xml:space="preserve">Autorem díla je slavný benátský malíř Giovanni Antonio Canal, známý jako </w:t>
      </w:r>
      <w:r>
        <w:rPr>
          <w:rFonts w:ascii="Arial" w:eastAsia="Arial" w:hAnsi="Arial" w:cs="Arial"/>
          <w:b/>
          <w:bCs/>
          <w:color w:val="000000"/>
          <w:sz w:val="20"/>
          <w:szCs w:val="20"/>
        </w:rPr>
        <w:t>Canaletto</w:t>
      </w:r>
      <w:r>
        <w:rPr>
          <w:rFonts w:ascii="Arial" w:eastAsia="Arial" w:hAnsi="Arial" w:cs="Arial"/>
          <w:color w:val="000000"/>
          <w:sz w:val="20"/>
          <w:szCs w:val="20"/>
        </w:rPr>
        <w:t xml:space="preserve">, mistr tzv. vedut (detailních městských krajin). Vysokou uměleckou hodnotu díla potvrzuje i fakt, že si </w:t>
      </w:r>
      <w:r w:rsidRPr="00A63BF1">
        <w:rPr>
          <w:rFonts w:ascii="Arial" w:eastAsia="Arial" w:hAnsi="Arial" w:cs="Arial"/>
          <w:sz w:val="20"/>
          <w:szCs w:val="20"/>
        </w:rPr>
        <w:t>ho</w:t>
      </w:r>
      <w:r>
        <w:rPr>
          <w:rFonts w:ascii="Arial" w:eastAsia="Arial" w:hAnsi="Arial" w:cs="Arial"/>
          <w:color w:val="000000"/>
          <w:sz w:val="20"/>
          <w:szCs w:val="20"/>
        </w:rPr>
        <w:t xml:space="preserve"> v roce 2012 </w:t>
      </w:r>
      <w:r>
        <w:rPr>
          <w:rFonts w:ascii="Arial" w:eastAsia="Arial" w:hAnsi="Arial" w:cs="Arial"/>
          <w:color w:val="000000"/>
          <w:sz w:val="20"/>
          <w:szCs w:val="20"/>
        </w:rPr>
        <w:lastRenderedPageBreak/>
        <w:t xml:space="preserve">osobně vybrala britská královna Alžběta II. </w:t>
      </w:r>
      <w:r w:rsidR="00A63BF1" w:rsidRPr="00A63BF1">
        <w:rPr>
          <w:rFonts w:ascii="Arial" w:eastAsia="Arial" w:hAnsi="Arial" w:cs="Arial"/>
          <w:sz w:val="20"/>
          <w:szCs w:val="20"/>
        </w:rPr>
        <w:t xml:space="preserve">na </w:t>
      </w:r>
      <w:r w:rsidR="00A63BF1">
        <w:rPr>
          <w:rFonts w:ascii="Arial" w:eastAsia="Arial" w:hAnsi="Arial" w:cs="Arial"/>
          <w:color w:val="000000"/>
          <w:sz w:val="20"/>
          <w:szCs w:val="20"/>
        </w:rPr>
        <w:t>prestižní</w:t>
      </w:r>
      <w:r>
        <w:rPr>
          <w:rFonts w:ascii="Arial" w:eastAsia="Arial" w:hAnsi="Arial" w:cs="Arial"/>
          <w:color w:val="000000"/>
          <w:sz w:val="20"/>
          <w:szCs w:val="20"/>
        </w:rPr>
        <w:t xml:space="preserve"> výstavu v galerii Buckinghamského paláce. Výstava se konala u příležitosti Diamantového jubilea (60 let na trůnu) a královna si obraz vybrala právě proto, že zachycuje unikátní britskou tradici – říční procesí při nástupu londýnského primátora do úřadu. Tato ceremonie symbolizovala nezávislost městských institucí na královském trůnu, což Alžběta II. oceňovala jako klíčový moment britských dějin.</w:t>
      </w:r>
    </w:p>
    <w:p w:rsidR="002263B9" w:rsidRDefault="002263B9">
      <w:pPr>
        <w:widowControl w:val="0"/>
        <w:pBdr>
          <w:top w:val="nil"/>
          <w:left w:val="nil"/>
          <w:bottom w:val="nil"/>
          <w:right w:val="nil"/>
          <w:between w:val="nil"/>
        </w:pBdr>
        <w:spacing w:line="300" w:lineRule="auto"/>
        <w:jc w:val="both"/>
        <w:rPr>
          <w:rFonts w:ascii="Arial" w:eastAsia="Arial" w:hAnsi="Arial" w:cs="Arial"/>
          <w:color w:val="000000"/>
          <w:sz w:val="20"/>
          <w:szCs w:val="20"/>
        </w:rPr>
      </w:pPr>
    </w:p>
    <w:p w:rsidR="002263B9" w:rsidRDefault="00000000">
      <w:pPr>
        <w:widowControl w:val="0"/>
        <w:pBdr>
          <w:top w:val="nil"/>
          <w:left w:val="nil"/>
          <w:bottom w:val="nil"/>
          <w:right w:val="nil"/>
          <w:between w:val="nil"/>
        </w:pBdr>
        <w:spacing w:line="300" w:lineRule="auto"/>
        <w:jc w:val="both"/>
        <w:rPr>
          <w:rFonts w:ascii="Arial" w:eastAsia="Arial" w:hAnsi="Arial" w:cs="Arial"/>
          <w:color w:val="000000"/>
          <w:sz w:val="20"/>
          <w:szCs w:val="20"/>
        </w:rPr>
      </w:pPr>
      <w:r>
        <w:rPr>
          <w:rFonts w:ascii="Arial" w:eastAsia="Arial" w:hAnsi="Arial" w:cs="Arial"/>
          <w:color w:val="000000"/>
          <w:sz w:val="20"/>
          <w:szCs w:val="20"/>
        </w:rPr>
        <w:t xml:space="preserve">Digitální instalaci Canalettova díla můžou návštěvníci najít v Lobkowiczkém paláci na Pražském hradě (jako součást stálé expozice). K vidění zde bude po celou dobu trvání vídeňské výstavy, tedy od 24. března až do 6. září 2026. Tato velkoformátová verze televizoru Samsung The Frame není běžně k vidění ani </w:t>
      </w:r>
      <w:r w:rsidRPr="00A63BF1">
        <w:rPr>
          <w:rFonts w:ascii="Arial" w:eastAsia="Arial" w:hAnsi="Arial" w:cs="Arial"/>
          <w:sz w:val="20"/>
          <w:szCs w:val="20"/>
        </w:rPr>
        <w:t>v</w:t>
      </w:r>
      <w:r w:rsidR="009560D1">
        <w:rPr>
          <w:rFonts w:ascii="Arial" w:eastAsia="Arial" w:hAnsi="Arial" w:cs="Arial"/>
          <w:sz w:val="20"/>
          <w:szCs w:val="20"/>
        </w:rPr>
        <w:t xml:space="preserve"> běžných </w:t>
      </w:r>
      <w:r w:rsidR="00A63BF1">
        <w:rPr>
          <w:rFonts w:ascii="Arial" w:eastAsia="Arial" w:hAnsi="Arial" w:cs="Arial"/>
          <w:color w:val="000000"/>
          <w:sz w:val="20"/>
          <w:szCs w:val="20"/>
        </w:rPr>
        <w:t>prodejních</w:t>
      </w:r>
      <w:r>
        <w:rPr>
          <w:rFonts w:ascii="Arial" w:eastAsia="Arial" w:hAnsi="Arial" w:cs="Arial"/>
          <w:color w:val="000000"/>
          <w:sz w:val="20"/>
          <w:szCs w:val="20"/>
        </w:rPr>
        <w:t xml:space="preserve"> showroom</w:t>
      </w:r>
      <w:r w:rsidR="009560D1">
        <w:rPr>
          <w:rFonts w:ascii="Arial" w:eastAsia="Arial" w:hAnsi="Arial" w:cs="Arial"/>
          <w:sz w:val="20"/>
          <w:szCs w:val="20"/>
        </w:rPr>
        <w:t>ech</w:t>
      </w:r>
      <w:r>
        <w:rPr>
          <w:rFonts w:ascii="Arial" w:eastAsia="Arial" w:hAnsi="Arial" w:cs="Arial"/>
          <w:color w:val="000000"/>
          <w:sz w:val="20"/>
          <w:szCs w:val="20"/>
        </w:rPr>
        <w:t>, což z návštěvy paláce rovněž činí ojedinělý zážitek.</w:t>
      </w:r>
    </w:p>
    <w:p w:rsidR="002263B9" w:rsidRDefault="002263B9">
      <w:pPr>
        <w:widowControl w:val="0"/>
        <w:pBdr>
          <w:top w:val="nil"/>
          <w:left w:val="nil"/>
          <w:bottom w:val="nil"/>
          <w:right w:val="nil"/>
          <w:between w:val="nil"/>
        </w:pBdr>
        <w:spacing w:line="300" w:lineRule="auto"/>
        <w:jc w:val="both"/>
        <w:rPr>
          <w:rFonts w:ascii="Arial" w:eastAsia="Arial" w:hAnsi="Arial" w:cs="Arial"/>
          <w:b/>
          <w:bCs/>
          <w:color w:val="000000"/>
          <w:sz w:val="20"/>
          <w:szCs w:val="20"/>
          <w:u w:val="single"/>
        </w:rPr>
      </w:pPr>
    </w:p>
    <w:p w:rsidR="002263B9" w:rsidRDefault="002263B9">
      <w:pPr>
        <w:widowControl w:val="0"/>
        <w:pBdr>
          <w:top w:val="nil"/>
          <w:left w:val="nil"/>
          <w:bottom w:val="nil"/>
          <w:right w:val="nil"/>
          <w:between w:val="nil"/>
        </w:pBdr>
        <w:spacing w:line="300" w:lineRule="auto"/>
        <w:jc w:val="both"/>
        <w:rPr>
          <w:rFonts w:ascii="Arial" w:eastAsia="Arial" w:hAnsi="Arial" w:cs="Arial"/>
          <w:b/>
          <w:bCs/>
          <w:color w:val="000000"/>
          <w:sz w:val="20"/>
          <w:szCs w:val="20"/>
          <w:u w:val="single"/>
        </w:rPr>
      </w:pPr>
    </w:p>
    <w:p w:rsidR="002263B9" w:rsidRDefault="00000000">
      <w:pPr>
        <w:widowControl w:val="0"/>
        <w:pBdr>
          <w:top w:val="nil"/>
          <w:left w:val="nil"/>
          <w:bottom w:val="nil"/>
          <w:right w:val="nil"/>
          <w:between w:val="nil"/>
        </w:pBdr>
        <w:spacing w:line="300" w:lineRule="auto"/>
        <w:jc w:val="both"/>
        <w:rPr>
          <w:rFonts w:ascii="Arial" w:eastAsia="Arial" w:hAnsi="Arial" w:cs="Arial"/>
          <w:color w:val="000000"/>
          <w:sz w:val="22"/>
          <w:szCs w:val="22"/>
        </w:rPr>
      </w:pPr>
      <w:r>
        <w:rPr>
          <w:rFonts w:ascii="Arial" w:eastAsia="Arial" w:hAnsi="Arial" w:cs="Arial"/>
          <w:b/>
          <w:bCs/>
          <w:color w:val="000000"/>
          <w:sz w:val="20"/>
          <w:szCs w:val="20"/>
          <w:u w:val="single"/>
        </w:rPr>
        <w:t>O společnosti Samsung Electronics Co., Ltd.</w:t>
      </w:r>
    </w:p>
    <w:p w:rsidR="002263B9" w:rsidRDefault="00000000">
      <w:pPr>
        <w:spacing w:line="300" w:lineRule="auto"/>
        <w:jc w:val="both"/>
        <w:rPr>
          <w:rFonts w:ascii="Arial" w:eastAsia="Arial" w:hAnsi="Arial" w:cs="Arial"/>
          <w:sz w:val="20"/>
          <w:szCs w:val="20"/>
        </w:rPr>
      </w:pPr>
      <w:r>
        <w:rPr>
          <w:rFonts w:ascii="Arial" w:eastAsia="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7">
        <w:r w:rsidR="002263B9">
          <w:rPr>
            <w:rFonts w:ascii="Arial" w:eastAsia="Arial" w:hAnsi="Arial" w:cs="Arial"/>
            <w:color w:val="0000FF"/>
            <w:sz w:val="20"/>
            <w:szCs w:val="20"/>
            <w:u w:val="single"/>
          </w:rPr>
          <w:t>https://news.samsung.com/cz</w:t>
        </w:r>
      </w:hyperlink>
      <w:r>
        <w:rPr>
          <w:rFonts w:ascii="Arial" w:eastAsia="Arial" w:hAnsi="Arial" w:cs="Arial"/>
          <w:color w:val="000000"/>
          <w:sz w:val="20"/>
          <w:szCs w:val="20"/>
        </w:rPr>
        <w:t>.</w:t>
      </w:r>
    </w:p>
    <w:p w:rsidR="002263B9" w:rsidRDefault="002263B9">
      <w:pPr>
        <w:spacing w:line="300" w:lineRule="auto"/>
        <w:jc w:val="both"/>
        <w:rPr>
          <w:rFonts w:ascii="Arial" w:eastAsia="Arial" w:hAnsi="Arial" w:cs="Arial"/>
          <w:color w:val="000000"/>
          <w:sz w:val="20"/>
          <w:szCs w:val="20"/>
        </w:rPr>
      </w:pPr>
    </w:p>
    <w:p w:rsidR="002263B9" w:rsidRDefault="00000000">
      <w:pPr>
        <w:widowControl w:val="0"/>
        <w:pBdr>
          <w:top w:val="nil"/>
          <w:left w:val="nil"/>
          <w:bottom w:val="nil"/>
          <w:right w:val="nil"/>
          <w:between w:val="nil"/>
        </w:pBdr>
        <w:spacing w:line="300" w:lineRule="auto"/>
        <w:jc w:val="both"/>
        <w:rPr>
          <w:rFonts w:ascii="Arial" w:eastAsia="Arial" w:hAnsi="Arial" w:cs="Arial"/>
          <w:b/>
          <w:bCs/>
          <w:color w:val="000000"/>
          <w:sz w:val="20"/>
          <w:szCs w:val="20"/>
          <w:u w:val="single"/>
        </w:rPr>
      </w:pPr>
      <w:r>
        <w:rPr>
          <w:rFonts w:ascii="Arial" w:eastAsia="Arial" w:hAnsi="Arial" w:cs="Arial"/>
          <w:b/>
          <w:bCs/>
          <w:color w:val="000000"/>
          <w:sz w:val="20"/>
          <w:szCs w:val="20"/>
          <w:u w:val="single"/>
        </w:rPr>
        <w:t>O House of Lobkowicz</w:t>
      </w:r>
    </w:p>
    <w:p w:rsidR="002263B9" w:rsidRDefault="00000000">
      <w:pPr>
        <w:spacing w:line="300" w:lineRule="auto"/>
        <w:jc w:val="both"/>
        <w:rPr>
          <w:rFonts w:ascii="Arial" w:eastAsia="Arial" w:hAnsi="Arial" w:cs="Arial"/>
          <w:color w:val="000000"/>
          <w:sz w:val="20"/>
          <w:szCs w:val="20"/>
        </w:rPr>
      </w:pPr>
      <w:r>
        <w:rPr>
          <w:rFonts w:ascii="Arial" w:eastAsia="Arial" w:hAnsi="Arial" w:cs="Arial"/>
          <w:color w:val="000000"/>
          <w:sz w:val="20"/>
          <w:szCs w:val="20"/>
        </w:rPr>
        <w:t>Organizace House of Lobkowicz staví na vizi “Sdílíme minulost, tvoříme budoucnost” prostřednictvím sdílení 700 let české inspirace, jejíž součástí je pět jedinečných kulturních památek, z nichž každá nabízí kompletní balíček služeb v oblasti event designu a gastronomie, rozmanité kulturní zážitky. V neposlední řadě sem patří také Lobkowiczké sbírky – jedny z nejstarších a nejcennějších soukromých uměleckých sbírek v Evropě.</w:t>
      </w:r>
    </w:p>
    <w:p w:rsidR="002263B9" w:rsidRDefault="002263B9">
      <w:pPr>
        <w:tabs>
          <w:tab w:val="left" w:pos="142"/>
        </w:tabs>
        <w:spacing w:line="300" w:lineRule="auto"/>
        <w:jc w:val="both"/>
        <w:rPr>
          <w:rFonts w:ascii="Arial" w:eastAsia="Arial" w:hAnsi="Arial" w:cs="Arial"/>
          <w:b/>
          <w:bCs/>
          <w:sz w:val="20"/>
          <w:szCs w:val="20"/>
        </w:rPr>
      </w:pPr>
    </w:p>
    <w:p w:rsidR="002263B9" w:rsidRDefault="002263B9">
      <w:pPr>
        <w:tabs>
          <w:tab w:val="left" w:pos="142"/>
        </w:tabs>
        <w:spacing w:line="300" w:lineRule="auto"/>
        <w:jc w:val="both"/>
        <w:rPr>
          <w:rFonts w:ascii="Arial" w:eastAsia="Arial" w:hAnsi="Arial" w:cs="Arial"/>
          <w:b/>
          <w:bCs/>
          <w:sz w:val="20"/>
          <w:szCs w:val="20"/>
        </w:rPr>
      </w:pPr>
    </w:p>
    <w:p w:rsidR="002263B9" w:rsidRDefault="00000000">
      <w:pPr>
        <w:tabs>
          <w:tab w:val="left" w:pos="142"/>
        </w:tabs>
        <w:spacing w:line="300" w:lineRule="auto"/>
        <w:jc w:val="both"/>
        <w:rPr>
          <w:rFonts w:ascii="Arial" w:eastAsia="Arial" w:hAnsi="Arial" w:cs="Arial"/>
          <w:b/>
          <w:bCs/>
          <w:sz w:val="20"/>
          <w:szCs w:val="20"/>
        </w:rPr>
      </w:pPr>
      <w:r>
        <w:rPr>
          <w:rFonts w:ascii="Arial" w:eastAsia="Arial" w:hAnsi="Arial" w:cs="Arial"/>
          <w:b/>
          <w:bCs/>
          <w:sz w:val="20"/>
          <w:szCs w:val="20"/>
        </w:rPr>
        <w:t>Kontaktní osoby</w:t>
      </w:r>
      <w:r>
        <w:rPr>
          <w:rFonts w:ascii="Arial" w:eastAsia="Arial" w:hAnsi="Arial" w:cs="Arial"/>
          <w:b/>
          <w:bCs/>
          <w:sz w:val="20"/>
          <w:szCs w:val="20"/>
        </w:rPr>
        <w:tab/>
      </w:r>
      <w:r>
        <w:rPr>
          <w:rFonts w:ascii="Arial" w:eastAsia="Arial" w:hAnsi="Arial" w:cs="Arial"/>
          <w:b/>
          <w:bCs/>
          <w:sz w:val="20"/>
          <w:szCs w:val="20"/>
        </w:rPr>
        <w:tab/>
      </w:r>
      <w:r>
        <w:rPr>
          <w:rFonts w:ascii="Arial" w:eastAsia="Arial" w:hAnsi="Arial" w:cs="Arial"/>
          <w:b/>
          <w:bCs/>
          <w:sz w:val="20"/>
          <w:szCs w:val="20"/>
        </w:rPr>
        <w:tab/>
      </w:r>
      <w:r>
        <w:rPr>
          <w:rFonts w:ascii="Arial" w:eastAsia="Arial" w:hAnsi="Arial" w:cs="Arial"/>
          <w:b/>
          <w:bCs/>
          <w:sz w:val="20"/>
          <w:szCs w:val="20"/>
        </w:rPr>
        <w:tab/>
      </w:r>
      <w:r>
        <w:rPr>
          <w:rFonts w:ascii="Arial" w:eastAsia="Arial" w:hAnsi="Arial" w:cs="Arial"/>
          <w:b/>
          <w:bCs/>
          <w:sz w:val="20"/>
          <w:szCs w:val="20"/>
        </w:rPr>
        <w:tab/>
        <w:t xml:space="preserve"> </w:t>
      </w:r>
    </w:p>
    <w:p w:rsidR="002263B9" w:rsidRDefault="00000000">
      <w:pPr>
        <w:tabs>
          <w:tab w:val="left" w:pos="142"/>
        </w:tabs>
        <w:spacing w:line="300" w:lineRule="auto"/>
        <w:ind w:left="142" w:hanging="142"/>
        <w:jc w:val="both"/>
        <w:rPr>
          <w:rFonts w:ascii="Arial" w:eastAsia="Arial" w:hAnsi="Arial" w:cs="Arial"/>
          <w:sz w:val="20"/>
          <w:szCs w:val="20"/>
        </w:rPr>
      </w:pPr>
      <w:r>
        <w:rPr>
          <w:rFonts w:ascii="Arial" w:eastAsia="Arial" w:hAnsi="Arial" w:cs="Arial"/>
          <w:sz w:val="20"/>
          <w:szCs w:val="20"/>
        </w:rPr>
        <w:t>Veronika Schieblová, PR Manažerka</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 xml:space="preserve">Leona Daňková, Taktiq Communications </w:t>
      </w:r>
    </w:p>
    <w:p w:rsidR="002263B9" w:rsidRDefault="00000000">
      <w:pPr>
        <w:tabs>
          <w:tab w:val="left" w:pos="142"/>
        </w:tabs>
        <w:spacing w:line="300" w:lineRule="auto"/>
        <w:jc w:val="both"/>
        <w:rPr>
          <w:rFonts w:ascii="Arial" w:eastAsia="Arial" w:hAnsi="Arial" w:cs="Arial"/>
          <w:sz w:val="20"/>
          <w:szCs w:val="20"/>
        </w:rPr>
      </w:pPr>
      <w:r>
        <w:rPr>
          <w:rFonts w:ascii="Arial" w:eastAsia="Arial" w:hAnsi="Arial" w:cs="Arial"/>
          <w:sz w:val="20"/>
          <w:szCs w:val="20"/>
        </w:rPr>
        <w:t>Tel.: +420 724 090 495</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Tel.: +420 605 228 810</w:t>
      </w:r>
    </w:p>
    <w:p w:rsidR="002263B9" w:rsidRDefault="00000000">
      <w:pPr>
        <w:tabs>
          <w:tab w:val="left" w:pos="142"/>
        </w:tabs>
        <w:spacing w:line="300" w:lineRule="auto"/>
        <w:jc w:val="both"/>
        <w:rPr>
          <w:rFonts w:ascii="Arial" w:eastAsia="Arial" w:hAnsi="Arial" w:cs="Arial"/>
          <w:color w:val="1D2129"/>
          <w:sz w:val="20"/>
          <w:szCs w:val="20"/>
          <w:highlight w:val="white"/>
        </w:rPr>
      </w:pPr>
      <w:r>
        <w:rPr>
          <w:rFonts w:ascii="Arial" w:eastAsia="Arial" w:hAnsi="Arial" w:cs="Arial"/>
          <w:sz w:val="20"/>
          <w:szCs w:val="20"/>
        </w:rPr>
        <w:t xml:space="preserve">E-mail: </w:t>
      </w:r>
      <w:hyperlink r:id="rId8">
        <w:r w:rsidR="002263B9">
          <w:rPr>
            <w:rFonts w:ascii="Arial" w:eastAsia="Arial" w:hAnsi="Arial" w:cs="Arial"/>
            <w:color w:val="0000FF"/>
            <w:sz w:val="20"/>
            <w:szCs w:val="20"/>
            <w:u w:val="single"/>
          </w:rPr>
          <w:t>v.schieblova@partner.samsung.com</w:t>
        </w:r>
      </w:hyperlink>
      <w:r>
        <w:rPr>
          <w:rFonts w:ascii="Arial" w:eastAsia="Arial" w:hAnsi="Arial" w:cs="Arial"/>
          <w:sz w:val="20"/>
          <w:szCs w:val="20"/>
        </w:rPr>
        <w:t xml:space="preserve">     </w:t>
      </w:r>
      <w:r>
        <w:rPr>
          <w:rFonts w:ascii="Arial" w:eastAsia="Arial" w:hAnsi="Arial" w:cs="Arial"/>
          <w:sz w:val="20"/>
          <w:szCs w:val="20"/>
        </w:rPr>
        <w:tab/>
      </w:r>
      <w:r>
        <w:rPr>
          <w:rFonts w:ascii="Arial" w:eastAsia="Arial" w:hAnsi="Arial" w:cs="Arial"/>
          <w:sz w:val="20"/>
          <w:szCs w:val="20"/>
        </w:rPr>
        <w:tab/>
        <w:t xml:space="preserve">E-mail: </w:t>
      </w:r>
      <w:hyperlink r:id="rId9">
        <w:r w:rsidR="002263B9">
          <w:rPr>
            <w:rFonts w:ascii="Arial" w:eastAsia="Arial" w:hAnsi="Arial" w:cs="Arial"/>
            <w:color w:val="0000FF"/>
            <w:sz w:val="20"/>
            <w:szCs w:val="20"/>
            <w:highlight w:val="white"/>
            <w:u w:val="single"/>
          </w:rPr>
          <w:t>leona.dankova@taktiq.com</w:t>
        </w:r>
      </w:hyperlink>
      <w:r>
        <w:rPr>
          <w:rFonts w:ascii="Arial" w:eastAsia="Arial" w:hAnsi="Arial" w:cs="Arial"/>
          <w:color w:val="1D2129"/>
          <w:sz w:val="20"/>
          <w:szCs w:val="20"/>
          <w:highlight w:val="white"/>
        </w:rPr>
        <w:t xml:space="preserve"> </w:t>
      </w:r>
    </w:p>
    <w:p w:rsidR="002263B9" w:rsidRDefault="002263B9">
      <w:pPr>
        <w:spacing w:line="300" w:lineRule="auto"/>
        <w:jc w:val="both"/>
        <w:rPr>
          <w:rFonts w:ascii="Arial" w:eastAsia="Arial" w:hAnsi="Arial" w:cs="Arial"/>
          <w:color w:val="1D2129"/>
          <w:sz w:val="20"/>
          <w:szCs w:val="20"/>
          <w:highlight w:val="white"/>
        </w:rPr>
      </w:pPr>
    </w:p>
    <w:sectPr w:rsidR="002263B9">
      <w:headerReference w:type="default" r:id="rId10"/>
      <w:footerReference w:type="even" r:id="rId11"/>
      <w:footerReference w:type="default" r:id="rId12"/>
      <w:pgSz w:w="11906" w:h="16838"/>
      <w:pgMar w:top="2160" w:right="1466" w:bottom="3544" w:left="1417"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27C52" w:rsidRDefault="00827C52">
      <w:r>
        <w:separator/>
      </w:r>
    </w:p>
  </w:endnote>
  <w:endnote w:type="continuationSeparator" w:id="0">
    <w:p w:rsidR="00827C52" w:rsidRDefault="00827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CF4F75CF-5538-4F7E-BE2C-269A885A87D8}"/>
    <w:embedBold r:id="rId2" w:fontKey="{5D686202-98BB-4F58-B9DD-D6E9D188A7D5}"/>
  </w:font>
  <w:font w:name="Segoe UI">
    <w:panose1 w:val="020B0502040204020203"/>
    <w:charset w:val="EE"/>
    <w:family w:val="swiss"/>
    <w:pitch w:val="variable"/>
    <w:sig w:usb0="E4002EFF" w:usb1="C000E47F" w:usb2="00000009" w:usb3="00000000" w:csb0="000001FF" w:csb1="00000000"/>
    <w:embedRegular r:id="rId3" w:fontKey="{2A97FCA0-BEEC-43A9-A029-1B05AD5115E0}"/>
  </w:font>
  <w:font w:name="Georgia">
    <w:panose1 w:val="02040502050405020303"/>
    <w:charset w:val="EE"/>
    <w:family w:val="roman"/>
    <w:pitch w:val="variable"/>
    <w:sig w:usb0="00000287" w:usb1="00000000" w:usb2="00000000" w:usb3="00000000" w:csb0="0000009F" w:csb1="00000000"/>
    <w:embedItalic r:id="rId4" w:fontKey="{35E2A45D-70E3-4150-9DDA-D103DD335313}"/>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embedRegular r:id="rId5" w:fontKey="{29E28C8D-C45C-4DDE-89BC-E2BBCB6DA4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63B9" w:rsidRDefault="00000000">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rsidR="002263B9" w:rsidRDefault="002263B9">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63B9" w:rsidRDefault="002263B9">
    <w:pPr>
      <w:pBdr>
        <w:top w:val="nil"/>
        <w:left w:val="nil"/>
        <w:bottom w:val="nil"/>
        <w:right w:val="nil"/>
        <w:between w:val="nil"/>
      </w:pBdr>
      <w:tabs>
        <w:tab w:val="center" w:pos="4536"/>
        <w:tab w:val="right" w:pos="9072"/>
      </w:tabs>
      <w:ind w:right="360"/>
      <w:rPr>
        <w:rFonts w:ascii="Arial" w:eastAsia="Arial" w:hAnsi="Arial" w:cs="Arial"/>
        <w:color w:val="000000"/>
        <w:sz w:val="26"/>
        <w:szCs w:val="26"/>
        <w:vertAlign w:val="subscri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27C52" w:rsidRDefault="00827C52">
      <w:r>
        <w:separator/>
      </w:r>
    </w:p>
  </w:footnote>
  <w:footnote w:type="continuationSeparator" w:id="0">
    <w:p w:rsidR="00827C52" w:rsidRDefault="00827C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2263B9" w:rsidRDefault="00000000">
    <w:pPr>
      <w:pBdr>
        <w:top w:val="nil"/>
        <w:left w:val="nil"/>
        <w:bottom w:val="nil"/>
        <w:right w:val="nil"/>
        <w:between w:val="nil"/>
      </w:pBdr>
      <w:tabs>
        <w:tab w:val="center" w:pos="4536"/>
        <w:tab w:val="right" w:pos="9072"/>
      </w:tabs>
      <w:ind w:firstLine="1416"/>
      <w:rPr>
        <w:b/>
        <w:bCs/>
        <w:color w:val="000000"/>
      </w:rPr>
    </w:pPr>
    <w:r>
      <w:rPr>
        <w:rFonts w:ascii="Arial" w:eastAsia="Arial" w:hAnsi="Arial" w:cs="Arial"/>
        <w:b/>
        <w:bCs/>
        <w:color w:val="000000"/>
      </w:rPr>
      <w:tab/>
    </w:r>
    <w:r>
      <w:rPr>
        <w:noProof/>
      </w:rPr>
      <w:drawing>
        <wp:anchor distT="0" distB="0" distL="114300" distR="114300" simplePos="0" relativeHeight="251658240" behindDoc="0" locked="0" layoutInCell="1" hidden="0" allowOverlap="1">
          <wp:simplePos x="0" y="0"/>
          <wp:positionH relativeFrom="column">
            <wp:posOffset>-883918</wp:posOffset>
          </wp:positionH>
          <wp:positionV relativeFrom="paragraph">
            <wp:posOffset>-457199</wp:posOffset>
          </wp:positionV>
          <wp:extent cx="7536180" cy="10673080"/>
          <wp:effectExtent l="0" t="0" r="0" b="0"/>
          <wp:wrapNone/>
          <wp:docPr id="6" name="image1.png" descr="Pozadi2015"/>
          <wp:cNvGraphicFramePr/>
          <a:graphic xmlns:a="http://schemas.openxmlformats.org/drawingml/2006/main">
            <a:graphicData uri="http://schemas.openxmlformats.org/drawingml/2006/picture">
              <pic:pic xmlns:pic="http://schemas.openxmlformats.org/drawingml/2006/picture">
                <pic:nvPicPr>
                  <pic:cNvPr id="0" name="image1.png" descr="Pozadi2015"/>
                  <pic:cNvPicPr preferRelativeResize="0"/>
                </pic:nvPicPr>
                <pic:blipFill>
                  <a:blip r:embed="rId1"/>
                  <a:srcRect/>
                  <a:stretch>
                    <a:fillRect/>
                  </a:stretch>
                </pic:blipFill>
                <pic:spPr>
                  <a:xfrm>
                    <a:off x="0" y="0"/>
                    <a:ext cx="7536180" cy="1067308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3B9"/>
    <w:rsid w:val="002263B9"/>
    <w:rsid w:val="00387124"/>
    <w:rsid w:val="00452EB3"/>
    <w:rsid w:val="006C1AD7"/>
    <w:rsid w:val="006D6A94"/>
    <w:rsid w:val="00733545"/>
    <w:rsid w:val="00827C52"/>
    <w:rsid w:val="00951B93"/>
    <w:rsid w:val="009560D1"/>
    <w:rsid w:val="00A63BF1"/>
    <w:rsid w:val="00B263AA"/>
    <w:rsid w:val="00F76F9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9E314"/>
  <w15:docId w15:val="{1E3793C8-1033-4CC6-8748-D71F76CA7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cs"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80" w:after="120"/>
      <w:outlineLvl w:val="0"/>
    </w:pPr>
    <w:rPr>
      <w:b/>
      <w:bCs/>
      <w:sz w:val="48"/>
      <w:szCs w:val="48"/>
    </w:rPr>
  </w:style>
  <w:style w:type="paragraph" w:styleId="Nadpis2">
    <w:name w:val="heading 2"/>
    <w:basedOn w:val="Normln"/>
    <w:next w:val="Normln"/>
    <w:uiPriority w:val="9"/>
    <w:semiHidden/>
    <w:unhideWhenUsed/>
    <w:qFormat/>
    <w:pPr>
      <w:keepNext/>
      <w:keepLines/>
      <w:spacing w:before="360" w:after="80"/>
      <w:outlineLvl w:val="1"/>
    </w:pPr>
    <w:rPr>
      <w:b/>
      <w:bCs/>
      <w:sz w:val="36"/>
      <w:szCs w:val="36"/>
    </w:rPr>
  </w:style>
  <w:style w:type="paragraph" w:styleId="Nadpis3">
    <w:name w:val="heading 3"/>
    <w:basedOn w:val="Normln"/>
    <w:next w:val="Normln"/>
    <w:uiPriority w:val="9"/>
    <w:semiHidden/>
    <w:unhideWhenUsed/>
    <w:qFormat/>
    <w:pPr>
      <w:outlineLvl w:val="2"/>
    </w:pPr>
    <w:rPr>
      <w:rFonts w:ascii="Calibri" w:eastAsia="Calibri" w:hAnsi="Calibri" w:cs="Calibri"/>
      <w:b/>
      <w:bCs/>
      <w:sz w:val="27"/>
      <w:szCs w:val="27"/>
    </w:rPr>
  </w:style>
  <w:style w:type="paragraph" w:styleId="Nadpis4">
    <w:name w:val="heading 4"/>
    <w:basedOn w:val="Normln"/>
    <w:next w:val="Normln"/>
    <w:uiPriority w:val="9"/>
    <w:semiHidden/>
    <w:unhideWhenUsed/>
    <w:qFormat/>
    <w:pPr>
      <w:keepNext/>
      <w:keepLines/>
      <w:spacing w:before="240" w:after="40"/>
      <w:outlineLvl w:val="3"/>
    </w:pPr>
    <w:rPr>
      <w:b/>
      <w:bCs/>
    </w:rPr>
  </w:style>
  <w:style w:type="paragraph" w:styleId="Nadpis5">
    <w:name w:val="heading 5"/>
    <w:basedOn w:val="Normln"/>
    <w:next w:val="Normln"/>
    <w:uiPriority w:val="9"/>
    <w:semiHidden/>
    <w:unhideWhenUsed/>
    <w:qFormat/>
    <w:pPr>
      <w:keepNext/>
      <w:keepLines/>
      <w:spacing w:before="220" w:after="40"/>
      <w:outlineLvl w:val="4"/>
    </w:pPr>
    <w:rPr>
      <w:b/>
      <w:bCs/>
      <w:sz w:val="22"/>
      <w:szCs w:val="22"/>
    </w:rPr>
  </w:style>
  <w:style w:type="paragraph" w:styleId="Nadpis6">
    <w:name w:val="heading 6"/>
    <w:basedOn w:val="Normln"/>
    <w:next w:val="Normln"/>
    <w:uiPriority w:val="9"/>
    <w:semiHidden/>
    <w:unhideWhenUsed/>
    <w:qFormat/>
    <w:pPr>
      <w:keepNext/>
      <w:keepLines/>
      <w:spacing w:before="200" w:after="40"/>
      <w:outlineLvl w:val="5"/>
    </w:pPr>
    <w:rPr>
      <w:b/>
      <w:bCs/>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before="480" w:after="120"/>
    </w:pPr>
    <w:rPr>
      <w:b/>
      <w:bCs/>
      <w:sz w:val="72"/>
      <w:szCs w:val="72"/>
    </w:rPr>
  </w:style>
  <w:style w:type="paragraph" w:styleId="Zpat">
    <w:name w:val="footer"/>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rsid w:val="00EA2A93"/>
    <w:pPr>
      <w:spacing w:before="100" w:beforeAutospacing="1" w:after="100" w:afterAutospacing="1"/>
    </w:pPr>
    <w:rPr>
      <w:rFonts w:eastAsiaTheme="minorHAnsi"/>
      <w:lang w:eastAsia="en-US"/>
    </w:rPr>
  </w:style>
  <w:style w:type="paragraph" w:styleId="Textpoznpodarou">
    <w:name w:val="footnote text"/>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link w:val="TextkomenteChar"/>
    <w:uiPriority w:val="99"/>
    <w:unhideWhenUsed/>
    <w:rsid w:val="00FC514B"/>
    <w:rPr>
      <w:sz w:val="20"/>
      <w:szCs w:val="20"/>
    </w:rPr>
  </w:style>
  <w:style w:type="character" w:customStyle="1" w:styleId="TextkomenteChar">
    <w:name w:val="Text komentáře Char"/>
    <w:basedOn w:val="Standardnpsmoodstavce"/>
    <w:link w:val="Textkomente"/>
    <w:uiPriority w:val="99"/>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553544"/>
    <w:rPr>
      <w:color w:val="605E5C"/>
      <w:shd w:val="clear" w:color="auto" w:fill="E1DFDD"/>
    </w:rPr>
  </w:style>
  <w:style w:type="character" w:customStyle="1" w:styleId="Nevyeenzmnka5">
    <w:name w:val="Nevyřešená zmínka5"/>
    <w:basedOn w:val="Standardnpsmoodstavce"/>
    <w:uiPriority w:val="99"/>
    <w:semiHidden/>
    <w:unhideWhenUsed/>
    <w:rsid w:val="00FC75F2"/>
    <w:rPr>
      <w:color w:val="605E5C"/>
      <w:shd w:val="clear" w:color="auto" w:fill="E1DFDD"/>
    </w:rPr>
  </w:style>
  <w:style w:type="character" w:customStyle="1" w:styleId="Nadpis3Char">
    <w:name w:val="Nadpis 3 Char"/>
    <w:basedOn w:val="Standardnpsmoodstavce"/>
    <w:uiPriority w:val="9"/>
    <w:semiHidden/>
    <w:rsid w:val="00F461D5"/>
    <w:rPr>
      <w:rFonts w:ascii="Calibri" w:eastAsiaTheme="minorEastAsia" w:hAnsi="Calibri" w:cs="Calibri"/>
      <w:b/>
      <w:bCs/>
      <w:sz w:val="27"/>
      <w:szCs w:val="27"/>
      <w:lang w:val="en-US" w:eastAsia="ko-KR"/>
    </w:rPr>
  </w:style>
  <w:style w:type="character" w:styleId="Siln">
    <w:name w:val="Strong"/>
    <w:basedOn w:val="Standardnpsmoodstavce"/>
    <w:uiPriority w:val="22"/>
    <w:qFormat/>
    <w:rsid w:val="00F461D5"/>
    <w:rPr>
      <w:b/>
      <w:bCs/>
    </w:rPr>
  </w:style>
  <w:style w:type="character" w:customStyle="1" w:styleId="Nevyeenzmnka6">
    <w:name w:val="Nevyřešená zmínka6"/>
    <w:basedOn w:val="Standardnpsmoodstavce"/>
    <w:uiPriority w:val="99"/>
    <w:semiHidden/>
    <w:unhideWhenUsed/>
    <w:rsid w:val="00B64D7B"/>
    <w:rPr>
      <w:color w:val="605E5C"/>
      <w:shd w:val="clear" w:color="auto" w:fill="E1DFDD"/>
    </w:rPr>
  </w:style>
  <w:style w:type="character" w:customStyle="1" w:styleId="Nevyeenzmnka7">
    <w:name w:val="Nevyřešená zmínka7"/>
    <w:basedOn w:val="Standardnpsmoodstavce"/>
    <w:uiPriority w:val="99"/>
    <w:semiHidden/>
    <w:unhideWhenUsed/>
    <w:rsid w:val="00834C33"/>
    <w:rPr>
      <w:color w:val="605E5C"/>
      <w:shd w:val="clear" w:color="auto" w:fill="E1DFDD"/>
    </w:rPr>
  </w:style>
  <w:style w:type="character" w:customStyle="1" w:styleId="il">
    <w:name w:val="il"/>
    <w:basedOn w:val="Standardnpsmoodstavce"/>
    <w:rsid w:val="00623792"/>
  </w:style>
  <w:style w:type="character" w:styleId="Nevyeenzmnka">
    <w:name w:val="Unresolved Mention"/>
    <w:basedOn w:val="Standardnpsmoodstavce"/>
    <w:uiPriority w:val="99"/>
    <w:semiHidden/>
    <w:unhideWhenUsed/>
    <w:rsid w:val="009B24AE"/>
    <w:rPr>
      <w:color w:val="605E5C"/>
      <w:shd w:val="clear" w:color="auto" w:fill="E1DFDD"/>
    </w:rPr>
  </w:style>
  <w:style w:type="paragraph" w:styleId="Textvysvtlivek">
    <w:name w:val="endnote text"/>
    <w:link w:val="TextvysvtlivekChar"/>
    <w:uiPriority w:val="99"/>
    <w:semiHidden/>
    <w:unhideWhenUsed/>
    <w:rsid w:val="00FD0ACD"/>
    <w:rPr>
      <w:sz w:val="20"/>
      <w:szCs w:val="20"/>
    </w:rPr>
  </w:style>
  <w:style w:type="character" w:customStyle="1" w:styleId="TextvysvtlivekChar">
    <w:name w:val="Text vysvětlivek Char"/>
    <w:basedOn w:val="Standardnpsmoodstavce"/>
    <w:link w:val="Textvysvtlivek"/>
    <w:uiPriority w:val="99"/>
    <w:semiHidden/>
    <w:rsid w:val="00FD0ACD"/>
    <w:rPr>
      <w:rFonts w:ascii="Times New Roman" w:eastAsia="Times New Roman" w:hAnsi="Times New Roman" w:cs="Times New Roman"/>
      <w:sz w:val="20"/>
      <w:szCs w:val="20"/>
      <w:lang w:eastAsia="cs-CZ"/>
    </w:rPr>
  </w:style>
  <w:style w:type="character" w:styleId="Odkaznavysvtlivky">
    <w:name w:val="endnote reference"/>
    <w:basedOn w:val="Standardnpsmoodstavce"/>
    <w:uiPriority w:val="99"/>
    <w:semiHidden/>
    <w:unhideWhenUsed/>
    <w:rsid w:val="00FD0ACD"/>
    <w:rPr>
      <w:vertAlign w:val="superscript"/>
    </w:rPr>
  </w:style>
  <w:style w:type="paragraph" w:styleId="Revize">
    <w:name w:val="Revision"/>
    <w:hidden/>
    <w:uiPriority w:val="99"/>
    <w:semiHidden/>
    <w:rsid w:val="007C682C"/>
  </w:style>
  <w:style w:type="paragraph" w:styleId="Podnadpis">
    <w:name w:val="Subtitle"/>
    <w:basedOn w:val="Normln"/>
    <w:next w:val="Normln"/>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v.schieblova@partner.samsung.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ews.samsung.com/cz"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eona.dankova@taktiq.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nJy2VVvm4dArz1IEpyHNMJLIw==">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2</Pages>
  <Words>710</Words>
  <Characters>4191</Characters>
  <Application>Microsoft Office Word</Application>
  <DocSecurity>0</DocSecurity>
  <Lines>34</Lines>
  <Paragraphs>9</Paragraphs>
  <ScaleCrop>false</ScaleCrop>
  <Company/>
  <LinksUpToDate>false</LinksUpToDate>
  <CharactersWithSpaces>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Ondřej Mádle</cp:lastModifiedBy>
  <cp:revision>7</cp:revision>
  <dcterms:created xsi:type="dcterms:W3CDTF">2026-03-20T15:34:00Z</dcterms:created>
  <dcterms:modified xsi:type="dcterms:W3CDTF">2026-03-30T09:19:00Z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