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734BF" w14:textId="77777777" w:rsidR="002F1C62" w:rsidRDefault="00000000">
      <w:pPr>
        <w:pStyle w:val="Nadpis2"/>
        <w:rPr>
          <w:sz w:val="24"/>
          <w:szCs w:val="24"/>
        </w:rPr>
      </w:pPr>
      <w:r>
        <w:rPr>
          <w:sz w:val="24"/>
          <w:szCs w:val="24"/>
        </w:rPr>
        <w:t>Už to dopralo? Konec programu opakovaně kontroluje téměř třetina lidí</w:t>
      </w:r>
    </w:p>
    <w:p w14:paraId="5E5F592E" w14:textId="77777777" w:rsidR="002F1C62" w:rsidRDefault="002F1C62">
      <w:pPr>
        <w:spacing w:after="160"/>
        <w:rPr>
          <w:rFonts w:ascii="Calibri" w:eastAsia="Calibri" w:hAnsi="Calibri" w:cs="Calibri"/>
          <w:sz w:val="24"/>
          <w:szCs w:val="24"/>
        </w:rPr>
      </w:pPr>
    </w:p>
    <w:p w14:paraId="0AED12BB" w14:textId="49F2AEA6" w:rsidR="002F1C62" w:rsidRDefault="00000000">
      <w:pPr>
        <w:spacing w:after="16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color w:val="333333"/>
          <w:sz w:val="24"/>
          <w:szCs w:val="24"/>
        </w:rPr>
        <w:t xml:space="preserve">Kolikrát se během dne vracíme k pračce, kontrolujeme vypnuté světlo nebo přemýšlíme, zda jsme zavřeli lednici? Výzkum mezi 1 050 lidmi ukazuje, že podobné drobné nejistoty zažívá většina z nás. Chytré spotřebiče </w:t>
      </w:r>
      <w:sdt>
        <w:sdtPr>
          <w:tag w:val="goog_rdk_0"/>
          <w:id w:val="576216529"/>
        </w:sdtPr>
        <w:sdtContent>
          <w:r>
            <w:rPr>
              <w:rFonts w:ascii="Calibri" w:eastAsia="Calibri" w:hAnsi="Calibri" w:cs="Calibri"/>
              <w:b/>
              <w:bCs/>
              <w:color w:val="333333"/>
              <w:sz w:val="24"/>
              <w:szCs w:val="24"/>
            </w:rPr>
            <w:t xml:space="preserve">můžou </w:t>
          </w:r>
        </w:sdtContent>
      </w:sdt>
      <w:sdt>
        <w:sdtPr>
          <w:tag w:val="goog_rdk_1"/>
          <w:id w:val="719688086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b/>
          <w:bCs/>
          <w:color w:val="333333"/>
          <w:sz w:val="24"/>
          <w:szCs w:val="24"/>
        </w:rPr>
        <w:t>část z nich hlídat za nás, upozornit na spotřebu nebo potřebnou údržbu</w:t>
      </w:r>
      <w:sdt>
        <w:sdtPr>
          <w:tag w:val="goog_rdk_2"/>
          <w:id w:val="926126279"/>
        </w:sdtPr>
        <w:sdtContent>
          <w:r>
            <w:rPr>
              <w:rFonts w:ascii="Calibri" w:eastAsia="Calibri" w:hAnsi="Calibri" w:cs="Calibri"/>
              <w:b/>
              <w:bCs/>
              <w:color w:val="333333"/>
              <w:sz w:val="24"/>
              <w:szCs w:val="24"/>
            </w:rPr>
            <w:t>,</w:t>
          </w:r>
        </w:sdtContent>
      </w:sdt>
      <w:r>
        <w:rPr>
          <w:rFonts w:ascii="Calibri" w:eastAsia="Calibri" w:hAnsi="Calibri" w:cs="Calibri"/>
          <w:b/>
          <w:bCs/>
          <w:color w:val="333333"/>
          <w:sz w:val="24"/>
          <w:szCs w:val="24"/>
        </w:rPr>
        <w:t xml:space="preserve"> a přitom nechat poslední slovo člověku.</w:t>
      </w:r>
    </w:p>
    <w:p w14:paraId="43F43B51" w14:textId="77777777" w:rsidR="002F1C62" w:rsidRDefault="002F1C62">
      <w:pPr>
        <w:rPr>
          <w:rFonts w:ascii="Calibri" w:eastAsia="Calibri" w:hAnsi="Calibri" w:cs="Calibri"/>
          <w:sz w:val="24"/>
          <w:szCs w:val="24"/>
        </w:rPr>
      </w:pPr>
    </w:p>
    <w:p w14:paraId="0B9472C9" w14:textId="70007B42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Určitě znáte den blbec. Vstanete levou nohou</w:t>
      </w:r>
      <w:sdt>
        <w:sdtPr>
          <w:tag w:val="goog_rdk_3"/>
          <w:id w:val="1630819205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>, všechno stíháte o pár minut později.  Během práce odbíháte zkontrolovat pračku, protože ty poslední dvě minuty na ní přece svítí už půl hodin</w:t>
      </w:r>
      <w:sdt>
        <w:sdtPr>
          <w:tag w:val="goog_rdk_4"/>
          <w:id w:val="-1878715707"/>
        </w:sdtPr>
        <w:sdtContent>
          <w:r>
            <w:rPr>
              <w:rFonts w:ascii="Calibri" w:eastAsia="Calibri" w:hAnsi="Calibri" w:cs="Calibri"/>
              <w:sz w:val="24"/>
              <w:szCs w:val="24"/>
            </w:rPr>
            <w:t>y</w:t>
          </w:r>
        </w:sdtContent>
      </w:sdt>
      <w:sdt>
        <w:sdtPr>
          <w:tag w:val="goog_rdk_5"/>
          <w:id w:val="1097287118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>. Když konečně vyrazíte, vrátíte se od auta, protože si nejste jistí</w:t>
      </w:r>
      <w:sdt>
        <w:sdtPr>
          <w:tag w:val="goog_rdk_6"/>
          <w:id w:val="-1285523836"/>
        </w:sdtPr>
        <w:sdtContent>
          <w:r>
            <w:rPr>
              <w:rFonts w:ascii="Calibri" w:eastAsia="Calibri" w:hAnsi="Calibri" w:cs="Calibri"/>
              <w:sz w:val="24"/>
              <w:szCs w:val="24"/>
            </w:rPr>
            <w:t>, že jste</w:t>
          </w:r>
        </w:sdtContent>
      </w:sdt>
      <w:r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tag w:val="goog_rdk_7"/>
          <w:id w:val="-956269375"/>
        </w:sdtPr>
        <w:sdtContent>
          <w:r>
            <w:rPr>
              <w:rFonts w:ascii="Calibri" w:eastAsia="Calibri" w:hAnsi="Calibri" w:cs="Calibri"/>
              <w:sz w:val="24"/>
              <w:szCs w:val="24"/>
            </w:rPr>
            <w:t>zhasli</w:t>
          </w:r>
        </w:sdtContent>
      </w:sdt>
      <w:sdt>
        <w:sdtPr>
          <w:tag w:val="goog_rdk_8"/>
          <w:id w:val="-742188066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 xml:space="preserve">. A po návratu domů zjistíte, že si vajíčka v nedovřené lednici užila vlastní last </w:t>
      </w:r>
      <w:proofErr w:type="spellStart"/>
      <w:r>
        <w:rPr>
          <w:rFonts w:ascii="Calibri" w:eastAsia="Calibri" w:hAnsi="Calibri" w:cs="Calibri"/>
          <w:sz w:val="24"/>
          <w:szCs w:val="24"/>
        </w:rPr>
        <w:t>minute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na Maledivách.</w:t>
      </w:r>
    </w:p>
    <w:p w14:paraId="5904531F" w14:textId="0F0CC2EA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Není to začátek </w:t>
      </w:r>
      <w:sdt>
        <w:sdtPr>
          <w:tag w:val="goog_rdk_9"/>
          <w:id w:val="1869631539"/>
        </w:sdtPr>
        <w:sdtContent>
          <w:sdt>
            <w:sdtPr>
              <w:tag w:val="goog_rdk_10"/>
              <w:id w:val="246782929"/>
            </w:sdtPr>
            <w:sdtContent>
              <w:r>
                <w:rPr>
                  <w:rFonts w:ascii="Calibri" w:eastAsia="Calibri" w:hAnsi="Calibri" w:cs="Calibri"/>
                  <w:sz w:val="24"/>
                  <w:szCs w:val="24"/>
                </w:rPr>
                <w:t>postapokalyptické</w:t>
              </w:r>
            </w:sdtContent>
          </w:sdt>
          <w:r>
            <w:rPr>
              <w:rFonts w:ascii="Calibri" w:eastAsia="Calibri" w:hAnsi="Calibri" w:cs="Calibri"/>
              <w:sz w:val="24"/>
              <w:szCs w:val="24"/>
            </w:rPr>
            <w:t xml:space="preserve"> </w:t>
          </w:r>
        </w:sdtContent>
      </w:sdt>
      <w:sdt>
        <w:sdtPr>
          <w:tag w:val="goog_rdk_11"/>
          <w:id w:val="1148101528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>knihy. V aktuálním průzkumu mezi 1 050 lidmi zažilo během tří měsíců alespoň jednu z devíti sledovaných situací 79,4 procenta respondentů. Polovina uvedla dvě nebo víc</w:t>
      </w:r>
      <w:sdt>
        <w:sdtPr>
          <w:tag w:val="goog_rdk_12"/>
          <w:id w:val="-1949220992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>. Nejčastější byl</w:t>
      </w:r>
      <w:sdt>
        <w:sdtPr>
          <w:tag w:val="goog_rdk_13"/>
          <w:id w:val="-1688067610"/>
        </w:sdtPr>
        <w:sdtContent>
          <w:r>
            <w:rPr>
              <w:rFonts w:ascii="Calibri" w:eastAsia="Calibri" w:hAnsi="Calibri" w:cs="Calibri"/>
              <w:sz w:val="24"/>
              <w:szCs w:val="24"/>
            </w:rPr>
            <w:t>y</w:t>
          </w:r>
        </w:sdtContent>
      </w:sdt>
      <w:sdt>
        <w:sdtPr>
          <w:tag w:val="goog_rdk_14"/>
          <w:id w:val="567613429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 xml:space="preserve"> nejistota, zda je spotřebič vypnutý (37,9 procenta), nedovřená lednice či mrazák (29,5 procenta) a opakované kontrolování, </w:t>
      </w:r>
      <w:sdt>
        <w:sdtPr>
          <w:tag w:val="goog_rdk_15"/>
          <w:id w:val="-444786725"/>
        </w:sdtPr>
        <w:sdtContent>
          <w:r>
            <w:rPr>
              <w:rFonts w:ascii="Calibri" w:eastAsia="Calibri" w:hAnsi="Calibri" w:cs="Calibri"/>
              <w:sz w:val="24"/>
              <w:szCs w:val="24"/>
            </w:rPr>
            <w:t xml:space="preserve">jestli </w:t>
          </w:r>
        </w:sdtContent>
      </w:sdt>
      <w:sdt>
        <w:sdtPr>
          <w:tag w:val="goog_rdk_16"/>
          <w:id w:val="647728294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>skončil prací program (28,9 procenta).</w:t>
      </w:r>
    </w:p>
    <w:p w14:paraId="15F5BEC1" w14:textId="77777777" w:rsidR="002F1C62" w:rsidRDefault="00000000">
      <w:pPr>
        <w:keepNext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noProof/>
          <w:sz w:val="24"/>
          <w:szCs w:val="24"/>
        </w:rPr>
        <w:drawing>
          <wp:inline distT="0" distB="0" distL="0" distR="0" wp14:anchorId="217C7C86" wp14:editId="3FC1E47D">
            <wp:extent cx="5349240" cy="3893058"/>
            <wp:effectExtent l="0" t="0" r="0" b="0"/>
            <wp:docPr id="2" name="image1.png" descr="Graf situací spojených s provozem domácích spotřebičů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raf situací spojených s provozem domácích spotřebičů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38930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FA3BA92" w14:textId="77777777" w:rsidR="002F1C62" w:rsidRDefault="00000000">
      <w:pPr>
        <w:spacing w:after="20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iCs/>
          <w:color w:val="666666"/>
          <w:sz w:val="24"/>
          <w:szCs w:val="24"/>
        </w:rPr>
        <w:t>Situace spojené s provozem domácích spotřebičů během posledních tří měsíců</w:t>
      </w:r>
    </w:p>
    <w:p w14:paraId="17393F52" w14:textId="77777777" w:rsidR="002F1C62" w:rsidRDefault="00000000">
      <w:pPr>
        <w:pStyle w:val="Nadpis1"/>
        <w:rPr>
          <w:sz w:val="24"/>
          <w:szCs w:val="24"/>
        </w:rPr>
      </w:pPr>
      <w:r>
        <w:rPr>
          <w:sz w:val="24"/>
          <w:szCs w:val="24"/>
        </w:rPr>
        <w:lastRenderedPageBreak/>
        <w:t>Nejvíc unavuje nejistota</w:t>
      </w:r>
    </w:p>
    <w:p w14:paraId="0A3EDCD2" w14:textId="779E4825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Právě opakované kontroly dobře ukazují, jak se z maličkosti stává další položka na mentálním seznamu. Dokončení programu opakovaně kontrolovalo 34 % žen a 23,9 %</w:t>
      </w:r>
      <w:r>
        <w:rPr>
          <w:rFonts w:ascii="Calibri" w:eastAsia="Calibri" w:hAnsi="Calibri" w:cs="Calibri"/>
          <w:sz w:val="24"/>
          <w:szCs w:val="24"/>
          <w:vertAlign w:val="superscript"/>
        </w:rPr>
        <w:footnoteReference w:id="1"/>
      </w:r>
      <w:r>
        <w:rPr>
          <w:rFonts w:ascii="Calibri" w:eastAsia="Calibri" w:hAnsi="Calibri" w:cs="Calibri"/>
          <w:sz w:val="24"/>
          <w:szCs w:val="24"/>
        </w:rPr>
        <w:t xml:space="preserve"> mužů. Není třeba z toho dělat souboj domácností. Když ale člověk drží v hlavě práci, nákup, kroužky i večeři, každé „už to dopralo?“ mu vezme další kousek energie. A přitom víc</w:t>
      </w:r>
      <w:sdt>
        <w:sdtPr>
          <w:tag w:val="goog_rdk_17"/>
          <w:id w:val="-763434418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 xml:space="preserve"> než polovina lidí stále nemá jasno v tom, že zařízení různých značek lze propojit a ovládat v jedné aplikaci.</w:t>
      </w:r>
    </w:p>
    <w:p w14:paraId="28AA2853" w14:textId="0E42BC0A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Například v aplikaci </w:t>
      </w:r>
      <w:proofErr w:type="spellStart"/>
      <w:r>
        <w:rPr>
          <w:rFonts w:ascii="Calibri" w:eastAsia="Calibri" w:hAnsi="Calibri" w:cs="Calibri"/>
          <w:sz w:val="24"/>
          <w:szCs w:val="24"/>
        </w:rPr>
        <w:t>SmartThings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lze sledovat stav praní a dostat zprávu po jeho dokončení. Chladnička může upozornit na nedovřené dveře a aplikace připomene také potřebnou péči o zařízení. Zakažte </w:t>
      </w:r>
      <w:proofErr w:type="spellStart"/>
      <w:r>
        <w:rPr>
          <w:rFonts w:ascii="Calibri" w:eastAsia="Calibri" w:hAnsi="Calibri" w:cs="Calibri"/>
          <w:sz w:val="24"/>
          <w:szCs w:val="24"/>
        </w:rPr>
        <w:t>vajíčk</w:t>
      </w:r>
      <w:sdt>
        <w:sdtPr>
          <w:tag w:val="goog_rdk_18"/>
          <w:id w:val="1249538744"/>
        </w:sdtPr>
        <w:sdtContent>
          <w:r>
            <w:rPr>
              <w:rFonts w:ascii="Calibri" w:eastAsia="Calibri" w:hAnsi="Calibri" w:cs="Calibri"/>
              <w:sz w:val="24"/>
              <w:szCs w:val="24"/>
            </w:rPr>
            <w:t>ů</w:t>
          </w:r>
          <w:proofErr w:type="spellEnd"/>
        </w:sdtContent>
      </w:sdt>
      <w:sdt>
        <w:sdtPr>
          <w:tag w:val="goog_rdk_19"/>
          <w:id w:val="-1014737986"/>
          <w:showingPlcHdr/>
        </w:sdtPr>
        <w:sdtContent>
          <w:r w:rsidR="0082793F">
            <w:t xml:space="preserve">     </w:t>
          </w:r>
        </w:sdtContent>
      </w:sdt>
      <w:r>
        <w:rPr>
          <w:rFonts w:ascii="Calibri" w:eastAsia="Calibri" w:hAnsi="Calibri" w:cs="Calibri"/>
          <w:sz w:val="24"/>
          <w:szCs w:val="24"/>
        </w:rPr>
        <w:t xml:space="preserve">m Maledivy. </w:t>
      </w:r>
    </w:p>
    <w:p w14:paraId="22D9CF4C" w14:textId="77777777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 AI má své místo, ale jen tam, kde se spotřebič skutečně přizpůsobuje. U vybraných praček Samsung dokáže podle náplně, typu tkaniny a míry znečištění upravit množství vody, pracího prostředku nebo průběh cyklu. Režim AI </w:t>
      </w:r>
      <w:proofErr w:type="spellStart"/>
      <w:r>
        <w:rPr>
          <w:rFonts w:ascii="Calibri" w:eastAsia="Calibri" w:hAnsi="Calibri" w:cs="Calibri"/>
          <w:sz w:val="24"/>
          <w:szCs w:val="24"/>
        </w:rPr>
        <w:t>Energy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zase umožňuje sledovat spotřebu a u podporovaných programů ji aktivně snižovat. Technologie tak nedělá kouzla, ale rozhoduje o konkrétním nastavení, které bychom jinak volili sami.</w:t>
      </w:r>
    </w:p>
    <w:p w14:paraId="18F2539B" w14:textId="77777777" w:rsidR="002F1C62" w:rsidRDefault="00000000">
      <w:pPr>
        <w:pStyle w:val="Nadpis1"/>
        <w:rPr>
          <w:sz w:val="24"/>
          <w:szCs w:val="24"/>
        </w:rPr>
      </w:pPr>
      <w:r>
        <w:rPr>
          <w:sz w:val="24"/>
          <w:szCs w:val="24"/>
        </w:rPr>
        <w:t>Chytrá domácnost nemá rozhodovat za nás</w:t>
      </w:r>
    </w:p>
    <w:p w14:paraId="237E0F3E" w14:textId="77777777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Z výzkumu je patrné, že lidé o pomoc stojí. Jen 8,9 % by nechtělo s ničím pomoci. Nejčastěji by chytré domácnosti svěřili hlídání spotřeby a úsporný režim, kontrolu vypnutých spotřebičů či dveří a upozornění na údržbu. Zároveň chtějí mít poslední slovo. Ti, kterým vadí představa technologie rozhodující bez jejich kontroly, volili pouhá doporučení a upozornění téměř třikrát častěji než ostatní. Ale už i to znamená více času pro sebe a méně stání nad pračkou a přemýšlení, jestli na 30 nebo na 40. </w:t>
      </w:r>
    </w:p>
    <w:p w14:paraId="361B7E43" w14:textId="77777777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Překážkou širšího využívání chytrých spotřebičů je stále hlavně cena. Uvedlo ji 22,1 procenta dotázaných, zatímco obavu o zneužití údajů označilo 15,1 procenta. Chytrou domácnost však není nutné vybudovat najednou. </w:t>
      </w:r>
      <w:proofErr w:type="spellStart"/>
      <w:r>
        <w:rPr>
          <w:rFonts w:ascii="Calibri" w:eastAsia="Calibri" w:hAnsi="Calibri" w:cs="Calibri"/>
          <w:sz w:val="24"/>
          <w:szCs w:val="24"/>
        </w:rPr>
        <w:t>SmartThings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dovoluje postupně přidávat podporovaná zařízení. Nemusejí být všechna od jedné značky: aplikace podporuje kompatibilní produkty označené Works </w:t>
      </w:r>
      <w:proofErr w:type="spellStart"/>
      <w:r>
        <w:rPr>
          <w:rFonts w:ascii="Calibri" w:eastAsia="Calibri" w:hAnsi="Calibri" w:cs="Calibri"/>
          <w:sz w:val="24"/>
          <w:szCs w:val="24"/>
        </w:rPr>
        <w:t>with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SmartThings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nebo </w:t>
      </w:r>
      <w:proofErr w:type="spellStart"/>
      <w:r>
        <w:rPr>
          <w:rFonts w:ascii="Calibri" w:eastAsia="Calibri" w:hAnsi="Calibri" w:cs="Calibri"/>
          <w:sz w:val="24"/>
          <w:szCs w:val="24"/>
        </w:rPr>
        <w:t>Matter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 u spotřebičů také standard HCA. Přesto 55,7 procenta lidí o této možnosti neví přesně nebo ji vůbec nezná. Součástí propojení je i zabezpečení. Za bezpečným ovládáním a sledováním chytrých spotřebičů Samsung stojí technologie Knox s ověřováním a šifrováním. </w:t>
      </w:r>
    </w:p>
    <w:p w14:paraId="57C7A7C8" w14:textId="77777777" w:rsidR="002F1C62" w:rsidRDefault="00000000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Nemusí proto vzniknout domácnost jako u paní </w:t>
      </w:r>
      <w:proofErr w:type="spellStart"/>
      <w:r>
        <w:rPr>
          <w:rFonts w:ascii="Calibri" w:eastAsia="Calibri" w:hAnsi="Calibri" w:cs="Calibri"/>
          <w:sz w:val="24"/>
          <w:szCs w:val="24"/>
        </w:rPr>
        <w:t>Weasleyové</w:t>
      </w:r>
      <w:proofErr w:type="spellEnd"/>
      <w:sdt>
        <w:sdtPr>
          <w:tag w:val="goog_rdk_20"/>
          <w:id w:val="363135146"/>
        </w:sdtPr>
        <w:sdtContent>
          <w:r>
            <w:rPr>
              <w:rFonts w:ascii="Calibri" w:eastAsia="Calibri" w:hAnsi="Calibri" w:cs="Calibri"/>
              <w:sz w:val="24"/>
              <w:szCs w:val="24"/>
            </w:rPr>
            <w:t xml:space="preserve"> v Doupěti</w:t>
          </w:r>
        </w:sdtContent>
      </w:sdt>
      <w:r>
        <w:rPr>
          <w:rFonts w:ascii="Calibri" w:eastAsia="Calibri" w:hAnsi="Calibri" w:cs="Calibri"/>
          <w:sz w:val="24"/>
          <w:szCs w:val="24"/>
        </w:rPr>
        <w:t xml:space="preserve">, kde se všechno hýbe samo. Úplně stačí, když dostaneme těch pár minut k dobru třeba na další díl seriálu. </w:t>
      </w:r>
    </w:p>
    <w:sectPr w:rsidR="002F1C62">
      <w:pgSz w:w="12240" w:h="15840"/>
      <w:pgMar w:top="1191" w:right="1304" w:bottom="1191" w:left="1304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9ED24" w14:textId="77777777" w:rsidR="00F939D6" w:rsidRDefault="00F939D6">
      <w:pPr>
        <w:spacing w:after="0" w:line="240" w:lineRule="auto"/>
      </w:pPr>
      <w:r>
        <w:separator/>
      </w:r>
    </w:p>
  </w:endnote>
  <w:endnote w:type="continuationSeparator" w:id="0">
    <w:p w14:paraId="502B330B" w14:textId="77777777" w:rsidR="00F939D6" w:rsidRDefault="00F93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">
    <w:charset w:val="00"/>
    <w:family w:val="swiss"/>
    <w:pitch w:val="variable"/>
    <w:sig w:usb0="E00082FF" w:usb1="400078FF" w:usb2="00000021" w:usb3="00000000" w:csb0="0000019F" w:csb1="00000000"/>
    <w:embedRegular r:id="rId1" w:fontKey="{FA94EF86-9490-4B72-AE5E-35AADDEB6FC7}"/>
    <w:embedBold r:id="rId2" w:fontKey="{0498996B-4592-4E0D-B3CE-C9F16129F78B}"/>
    <w:embedItalic r:id="rId3" w:fontKey="{983C978C-C5F5-4D64-BDD4-D934C31B7B21}"/>
    <w:embedBoldItalic r:id="rId4" w:fontKey="{7EA8864E-5EDE-414A-A9CF-A52303A02395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41135F2D-E146-48FB-9DAF-946B95B1619F}"/>
    <w:embedBold r:id="rId6" w:fontKey="{0CAC1046-1FCB-4E63-8E7D-2089CE63A2B5}"/>
    <w:embedItalic r:id="rId7" w:fontKey="{4BB98CB5-80A6-49B5-BB7B-66367F27DE17}"/>
    <w:embedBoldItalic r:id="rId8" w:fontKey="{9AA45C18-D3FD-4A00-AA5C-49A5B4A244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9" w:fontKey="{26FEC320-5B58-4464-8054-1BED2203CA5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0" w:fontKey="{41EBB9DD-6E45-4143-83D7-F3AED2E801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B0713" w14:textId="77777777" w:rsidR="00F939D6" w:rsidRDefault="00F939D6">
      <w:pPr>
        <w:spacing w:after="0" w:line="240" w:lineRule="auto"/>
      </w:pPr>
      <w:r>
        <w:separator/>
      </w:r>
    </w:p>
  </w:footnote>
  <w:footnote w:type="continuationSeparator" w:id="0">
    <w:p w14:paraId="0FBBBD28" w14:textId="77777777" w:rsidR="00F939D6" w:rsidRDefault="00F939D6">
      <w:pPr>
        <w:spacing w:after="0" w:line="240" w:lineRule="auto"/>
      </w:pPr>
      <w:r>
        <w:continuationSeparator/>
      </w:r>
    </w:p>
  </w:footnote>
  <w:footnote w:id="1">
    <w:p w14:paraId="1A9DCDE3" w14:textId="77777777" w:rsidR="002F1C62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Quattrocento Sans" w:eastAsia="Quattrocento Sans" w:hAnsi="Quattrocento Sans" w:cs="Quattrocento Sans"/>
          <w:sz w:val="20"/>
          <w:szCs w:val="20"/>
        </w:rPr>
        <w:t xml:space="preserve">Sběr dat byl realizován prostřednictvím aplikace Instant </w:t>
      </w:r>
      <w:proofErr w:type="spellStart"/>
      <w:r>
        <w:rPr>
          <w:rFonts w:ascii="Quattrocento Sans" w:eastAsia="Quattrocento Sans" w:hAnsi="Quattrocento Sans" w:cs="Quattrocento Sans"/>
          <w:sz w:val="20"/>
          <w:szCs w:val="20"/>
        </w:rPr>
        <w:t>Research</w:t>
      </w:r>
      <w:proofErr w:type="spellEnd"/>
      <w:r>
        <w:rPr>
          <w:rFonts w:ascii="Quattrocento Sans" w:eastAsia="Quattrocento Sans" w:hAnsi="Quattrocento Sans" w:cs="Quattrocento Sans"/>
          <w:sz w:val="20"/>
          <w:szCs w:val="20"/>
        </w:rPr>
        <w:t xml:space="preserve"> agentury Ipsos.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6DBC"/>
    <w:multiLevelType w:val="multilevel"/>
    <w:tmpl w:val="3468C28E"/>
    <w:lvl w:ilvl="0">
      <w:start w:val="1"/>
      <w:numFmt w:val="decimal"/>
      <w:pStyle w:val="Seznamsodrkami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57810711">
    <w:abstractNumId w:val="0"/>
  </w:num>
  <w:num w:numId="2" w16cid:durableId="1505516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47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58111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135715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09761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62"/>
    <w:rsid w:val="002F1C62"/>
    <w:rsid w:val="0082793F"/>
    <w:rsid w:val="00AA1C06"/>
    <w:rsid w:val="00F9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5B789"/>
  <w15:docId w15:val="{8181834D-314F-4041-AE36-665593ECE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oto Sans" w:eastAsia="Noto Sans" w:hAnsi="Noto Sans" w:cs="Noto Sans"/>
        <w:color w:val="202124"/>
        <w:sz w:val="22"/>
        <w:szCs w:val="22"/>
        <w:lang w:val="cs" w:eastAsia="cs-CZ" w:bidi="ar-SA"/>
      </w:rPr>
    </w:rPrDefault>
    <w:pPrDefault>
      <w:pPr>
        <w:spacing w:after="140" w:line="26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260"/>
      <w:outlineLvl w:val="0"/>
    </w:pPr>
    <w:rPr>
      <w:rFonts w:ascii="Calibri" w:eastAsia="Calibri" w:hAnsi="Calibri" w:cs="Calibri"/>
      <w:b/>
      <w:bCs/>
      <w:color w:val="000000"/>
      <w:sz w:val="30"/>
      <w:szCs w:val="3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Nadpis7">
    <w:name w:val="heading 7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spacing w:line="240" w:lineRule="auto"/>
    </w:pPr>
    <w:rPr>
      <w:rFonts w:ascii="Calibri" w:eastAsia="Calibri" w:hAnsi="Calibri" w:cs="Calibri"/>
      <w:b/>
      <w:bCs/>
      <w:color w:val="000000"/>
      <w:sz w:val="48"/>
      <w:szCs w:val="48"/>
    </w:rPr>
  </w:style>
  <w:style w:type="paragraph" w:styleId="Zhlav">
    <w:name w:val="header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zevChar">
    <w:name w:val="Název Char"/>
    <w:basedOn w:val="Standardnpsmoodstavc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odnadpisChar">
    <w:name w:val="Podnadpis Char"/>
    <w:basedOn w:val="Standardnpsmoodstavc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uiPriority w:val="34"/>
    <w:qFormat/>
    <w:rsid w:val="00FC693F"/>
    <w:pPr>
      <w:ind w:left="720"/>
      <w:contextualSpacing/>
    </w:pPr>
  </w:style>
  <w:style w:type="paragraph" w:styleId="Zkladntext">
    <w:name w:val="Body Text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Seznamsodrkami3">
    <w:name w:val="List Bullet 3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slovanseznam">
    <w:name w:val="List Number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slovanseznam2">
    <w:name w:val="List Number 2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slovanseznam3">
    <w:name w:val="List Number 3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Pokraovnseznamu">
    <w:name w:val="List Continue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uiPriority w:val="39"/>
    <w:semiHidden/>
    <w:unhideWhenUsed/>
    <w:qFormat/>
    <w:rsid w:val="00FC693F"/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poznpodarou">
    <w:name w:val="footnote text"/>
    <w:link w:val="TextpoznpodarouChar"/>
    <w:uiPriority w:val="99"/>
    <w:semiHidden/>
    <w:unhideWhenUsed/>
    <w:rsid w:val="00043C6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43C65"/>
    <w:rPr>
      <w:rFonts w:ascii="Noto Sans" w:hAnsi="Noto Sans"/>
      <w:color w:val="202124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43C65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784A24"/>
    <w:rPr>
      <w:sz w:val="16"/>
      <w:szCs w:val="16"/>
    </w:rPr>
  </w:style>
  <w:style w:type="paragraph" w:styleId="Textkomente">
    <w:name w:val="annotation text"/>
    <w:link w:val="TextkomenteChar"/>
    <w:uiPriority w:val="99"/>
    <w:semiHidden/>
    <w:unhideWhenUsed/>
    <w:rsid w:val="00784A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84A24"/>
    <w:rPr>
      <w:rFonts w:ascii="Noto Sans" w:hAnsi="Noto Sans"/>
      <w:color w:val="20212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84A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84A24"/>
    <w:rPr>
      <w:rFonts w:ascii="Noto Sans" w:hAnsi="Noto Sans"/>
      <w:b/>
      <w:bCs/>
      <w:color w:val="202124"/>
      <w:sz w:val="20"/>
      <w:szCs w:val="20"/>
    </w:rPr>
  </w:style>
  <w:style w:type="paragraph" w:styleId="Revize">
    <w:name w:val="Revision"/>
    <w:hidden/>
    <w:uiPriority w:val="99"/>
    <w:semiHidden/>
    <w:rsid w:val="00E52C97"/>
    <w:pPr>
      <w:spacing w:after="0" w:line="240" w:lineRule="auto"/>
    </w:pPr>
  </w:style>
  <w:style w:type="paragraph" w:styleId="Podnadpis">
    <w:name w:val="Subtitle"/>
    <w:basedOn w:val="Normln"/>
    <w:next w:val="Normln"/>
    <w:uiPriority w:val="11"/>
    <w:qFormat/>
    <w:pPr>
      <w:keepNext/>
    </w:pPr>
    <w:rPr>
      <w:rFonts w:ascii="Calibri" w:eastAsia="Calibri" w:hAnsi="Calibri" w:cs="Calibri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SqKgwJ9euh8g4wnNawQId6YHGA==">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Otto Doka/PR /SECZ/Professional/Samsung Electronics</dc:creator>
  <cp:lastModifiedBy>Kateřina Vítková</cp:lastModifiedBy>
  <cp:revision>2</cp:revision>
  <dcterms:created xsi:type="dcterms:W3CDTF">2026-09-24T13:06:00Z</dcterms:created>
  <dcterms:modified xsi:type="dcterms:W3CDTF">2026-09-25T11:33:00Z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