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40308">
      <w:pPr>
        <w:rPr>
          <w:rFonts w:ascii="Arial" w:hAnsi="Arial" w:cs="Arial"/>
          <w:lang w:eastAsia="ko-KR"/>
        </w:rPr>
      </w:pPr>
      <w:r>
        <w:rPr>
          <w:rStyle w:val="15"/>
          <w:rFonts w:ascii="Arial" w:hAnsi="Arial" w:cs="Arial"/>
          <w:color w:val="000000"/>
          <w:sz w:val="18"/>
          <w:szCs w:val="18"/>
          <w:shd w:val="clear" w:color="auto" w:fill="FFFFFF"/>
          <w:lang w:eastAsia="ko-KR"/>
        </w:rPr>
        <w:drawing>
          <wp:inline distT="0" distB="0" distL="0" distR="0">
            <wp:extent cx="2353945" cy="361315"/>
            <wp:effectExtent l="0" t="0" r="0" b="0"/>
            <wp:docPr id="171934455" name="Picture 4" descr="삼성 로고(Lettermark),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4455" name="Picture 4" descr="삼성 로고(Lettermark), 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13961" cy="386182"/>
                    </a:xfrm>
                    <a:prstGeom prst="rect">
                      <a:avLst/>
                    </a:prstGeom>
                    <a:noFill/>
                    <a:ln>
                      <a:noFill/>
                    </a:ln>
                  </pic:spPr>
                </pic:pic>
              </a:graphicData>
            </a:graphic>
          </wp:inline>
        </w:drawing>
      </w:r>
      <w:r>
        <w:rPr>
          <w:rFonts w:ascii="Arial" w:hAnsi="Arial" w:cs="Arial"/>
          <w:color w:val="000000"/>
          <w:shd w:val="clear" w:color="auto" w:fill="FFFFFF"/>
        </w:rPr>
        <w:br w:type="textWrapping"/>
      </w:r>
    </w:p>
    <w:p w14:paraId="5F31DE60">
      <w:pPr>
        <w:jc w:val="center"/>
        <w:rPr>
          <w:rFonts w:ascii="Arial" w:hAnsi="Arial" w:eastAsia="Malgun Gothic" w:cs="Arial"/>
          <w:b/>
          <w:bCs/>
          <w:sz w:val="28"/>
          <w:szCs w:val="28"/>
          <w:lang w:eastAsia="ko-KR"/>
        </w:rPr>
      </w:pPr>
      <w:r>
        <w:rPr>
          <w:rFonts w:ascii="Arial" w:hAnsi="Arial" w:eastAsia="Malgun Gothic" w:cs="Arial"/>
          <w:b/>
          <w:bCs/>
          <w:sz w:val="28"/>
          <w:szCs w:val="28"/>
          <w:lang w:eastAsia="ko-KR"/>
        </w:rPr>
        <w:t>Samsung dan Art Basel Luncurkan Koleksi Terbesar Art Basel di Samsung Art Store</w:t>
      </w:r>
    </w:p>
    <w:p w14:paraId="0463D370">
      <w:pPr>
        <w:jc w:val="center"/>
        <w:rPr>
          <w:rFonts w:ascii="Arial" w:hAnsi="Arial" w:eastAsia="Malgun Gothic" w:cs="Arial"/>
          <w:i/>
          <w:iCs/>
          <w:sz w:val="22"/>
          <w:szCs w:val="22"/>
          <w:lang w:eastAsia="ko-KR"/>
        </w:rPr>
      </w:pPr>
      <w:r>
        <w:rPr>
          <w:rFonts w:ascii="Arial" w:hAnsi="Arial" w:eastAsia="Malgun Gothic" w:cs="Arial"/>
          <w:i/>
          <w:iCs/>
          <w:sz w:val="22"/>
          <w:szCs w:val="22"/>
          <w:lang w:eastAsia="ko-KR"/>
        </w:rPr>
        <w:t>Pameran terbaru ini merayakan keberagaman global, inovasi artistik, dan kekuatan teknologi layar untuk menampilkan kurasi karya seni digital di Samsung TV</w:t>
      </w:r>
      <w:bookmarkStart w:id="0" w:name="_GoBack"/>
      <w:bookmarkEnd w:id="0"/>
    </w:p>
    <w:p w14:paraId="68C023C3">
      <w:pPr>
        <w:jc w:val="center"/>
        <w:rPr>
          <w:rFonts w:ascii="Arial" w:hAnsi="Arial" w:eastAsia="Malgun Gothic" w:cs="Arial"/>
          <w:i/>
          <w:iCs/>
          <w:sz w:val="22"/>
          <w:szCs w:val="22"/>
          <w:lang w:eastAsia="ko-KR"/>
        </w:rPr>
      </w:pPr>
      <w:r>
        <w:rPr>
          <w:rFonts w:ascii="Arial" w:hAnsi="Arial" w:eastAsia="Malgun Gothic" w:cs="Arial"/>
          <w:i/>
          <w:iCs/>
          <w:sz w:val="22"/>
          <w:szCs w:val="22"/>
          <w:lang w:eastAsia="ko-KR"/>
        </w:rPr>
        <w:t xml:space="preserve">Tersedia di Samsung Art Store, eksklusif untuk pengguna Samsung Art TV </w:t>
      </w:r>
    </w:p>
    <w:p w14:paraId="7106E4C3">
      <w:pPr>
        <w:jc w:val="both"/>
        <w:rPr>
          <w:rFonts w:ascii="Arial" w:hAnsi="Arial" w:cs="Arial"/>
          <w:bCs/>
          <w:sz w:val="20"/>
          <w:szCs w:val="20"/>
        </w:rPr>
      </w:pPr>
      <w:r>
        <w:rPr>
          <w:rFonts w:ascii="Arial" w:hAnsi="Arial" w:cs="Arial"/>
          <w:b/>
          <w:bCs/>
          <w:sz w:val="20"/>
          <w:szCs w:val="20"/>
        </w:rPr>
        <w:t xml:space="preserve">Basel, Switzerland – June 16,2025 – </w:t>
      </w:r>
      <w:r>
        <w:rPr>
          <w:rFonts w:ascii="Arial" w:hAnsi="Arial" w:cs="Arial"/>
          <w:bCs/>
          <w:sz w:val="20"/>
          <w:szCs w:val="20"/>
        </w:rPr>
        <w:t>Samsung Electronics, sebagai Official Art TV di Art Basel, hari ini mengumumkan peluncuran Art Basel in Basel (ABB) Collection, sebuah kurasi eksklusif karya seni digital yang kini tersedia pada TV Samsung melalui Samsung Art Store</w:t>
      </w:r>
      <w:r>
        <w:rPr>
          <w:rStyle w:val="9"/>
          <w:rFonts w:ascii="Arial" w:hAnsi="Arial" w:cs="Arial"/>
          <w:bCs/>
          <w:sz w:val="20"/>
          <w:szCs w:val="20"/>
        </w:rPr>
        <w:footnoteReference w:id="0"/>
      </w:r>
      <w:r>
        <w:rPr>
          <w:rFonts w:ascii="Arial" w:hAnsi="Arial" w:cs="Arial"/>
          <w:bCs/>
          <w:sz w:val="20"/>
          <w:szCs w:val="20"/>
        </w:rPr>
        <w:t xml:space="preserve">. Koleksi ini menjadi yang terbesar dalam sejarah kerja sama Samsung dan Art Basel, dengan menghadirkan tambahan 38 karya pilihan dari seniman dan galeri ternama dunia Art Basel in Basel—sebagai bagian dari total 77 karya dalam keseluruhan koleksi Art Basel, menandai tonggak baru dalam misi menghadirkan seni kelas dunia ke audiens yang lebih luas. </w:t>
      </w:r>
    </w:p>
    <w:p w14:paraId="2F810632">
      <w:pPr>
        <w:jc w:val="both"/>
        <w:rPr>
          <w:rFonts w:ascii="Arial" w:hAnsi="Arial" w:cs="Arial"/>
          <w:bCs/>
          <w:sz w:val="20"/>
          <w:szCs w:val="20"/>
          <w:lang w:eastAsia="ko-KR"/>
        </w:rPr>
      </w:pPr>
      <w:r>
        <w:rPr>
          <w:rFonts w:ascii="Arial" w:hAnsi="Arial" w:cs="Arial"/>
          <w:bCs/>
          <w:sz w:val="20"/>
          <w:szCs w:val="20"/>
          <w:lang w:eastAsia="ko-KR"/>
        </w:rPr>
        <w:t>Koleksi Art Basel in Basel tampil menonjol karena mengedepankan keberagaman, baik dari segi latar belakang, medium, hingga perspektif artistik. Untuk pertama kalinya, koleksi ini juga mencakup galeri yang berbasis di Afrika, memperluas jangkauan global dan memperkaya nilai budaya dari kolaborasi Samsung x Art Basel. Beberapa karya dari koleksi ini akan ditampilkan langsung di pameran Art Basel yang digelar pada 19-22 Juni di Messe Basel, Swiss.</w:t>
      </w:r>
      <w:r>
        <w:rPr>
          <w:rStyle w:val="9"/>
          <w:rFonts w:ascii="Arial" w:hAnsi="Arial" w:cs="Arial"/>
          <w:bCs/>
          <w:sz w:val="20"/>
          <w:szCs w:val="20"/>
          <w:lang w:eastAsia="ko-KR"/>
        </w:rPr>
        <w:footnoteReference w:id="1"/>
      </w:r>
      <w:r>
        <w:rPr>
          <w:rFonts w:ascii="Arial" w:hAnsi="Arial" w:cs="Arial"/>
          <w:bCs/>
          <w:sz w:val="20"/>
          <w:szCs w:val="20"/>
          <w:lang w:eastAsia="ko-KR"/>
        </w:rPr>
        <w:t xml:space="preserve"> </w:t>
      </w:r>
    </w:p>
    <w:p w14:paraId="7A23753C">
      <w:pPr>
        <w:jc w:val="both"/>
        <w:rPr>
          <w:rFonts w:ascii="Arial" w:hAnsi="Arial" w:cs="Arial"/>
          <w:b/>
          <w:sz w:val="20"/>
          <w:szCs w:val="20"/>
        </w:rPr>
      </w:pPr>
      <w:r>
        <w:rPr>
          <w:rFonts w:ascii="Arial" w:hAnsi="Arial" w:cs="Arial"/>
          <w:b/>
          <w:sz w:val="20"/>
          <w:szCs w:val="20"/>
        </w:rPr>
        <w:t>Koleksi Kurasi dengan Visi Ekspresi Global</w:t>
      </w:r>
    </w:p>
    <w:p w14:paraId="2A8C3ED9">
      <w:pPr>
        <w:jc w:val="both"/>
        <w:rPr>
          <w:rFonts w:ascii="Arial" w:hAnsi="Arial" w:cs="Arial"/>
          <w:bCs/>
          <w:sz w:val="20"/>
          <w:szCs w:val="20"/>
        </w:rPr>
      </w:pPr>
      <w:r>
        <w:rPr>
          <w:rFonts w:ascii="Arial" w:hAnsi="Arial" w:cs="Arial"/>
          <w:bCs/>
          <w:sz w:val="20"/>
          <w:szCs w:val="20"/>
        </w:rPr>
        <w:t>Dipilih dari lebih dari 100 pengajuan karya, 38 karya yang masuk dalam koleksi Art Basel in Basel dikurasi secara ketat dengan focus pada keberagaman seniman, variasi medium, serta representasi geografis. Koleksi ini merayakan baik seniman pendatang baru maupun tokoh berpengaruh di dunia seni, sejalan dengan komitmen Art Basel untuk menjunjung tinggi seni kontemporer dari seluruh penjuru dunia. .</w:t>
      </w:r>
    </w:p>
    <w:p w14:paraId="6153D1A3">
      <w:pPr>
        <w:tabs>
          <w:tab w:val="left" w:pos="720"/>
        </w:tabs>
        <w:jc w:val="both"/>
        <w:rPr>
          <w:rFonts w:ascii="Arial" w:hAnsi="Arial" w:cs="Arial"/>
          <w:bCs/>
          <w:sz w:val="20"/>
          <w:szCs w:val="20"/>
        </w:rPr>
      </w:pPr>
      <w:r>
        <w:rPr>
          <w:rFonts w:ascii="Arial" w:hAnsi="Arial" w:cs="Arial"/>
          <w:bCs/>
          <w:sz w:val="20"/>
          <w:szCs w:val="20"/>
        </w:rPr>
        <w:t xml:space="preserve">Beberapa sorotan dari koleksi ini antara lain: </w:t>
      </w:r>
    </w:p>
    <w:p w14:paraId="679E4D01">
      <w:pPr>
        <w:pStyle w:val="13"/>
        <w:numPr>
          <w:ilvl w:val="0"/>
          <w:numId w:val="1"/>
        </w:numPr>
        <w:tabs>
          <w:tab w:val="left" w:pos="720"/>
        </w:tabs>
        <w:jc w:val="both"/>
        <w:rPr>
          <w:rFonts w:ascii="Arial" w:hAnsi="Arial" w:cs="Arial"/>
          <w:bCs/>
          <w:sz w:val="20"/>
          <w:szCs w:val="20"/>
        </w:rPr>
      </w:pPr>
      <w:r>
        <w:rPr>
          <w:rFonts w:ascii="Arial" w:hAnsi="Arial" w:cs="Arial"/>
          <w:bCs/>
          <w:sz w:val="20"/>
          <w:szCs w:val="20"/>
        </w:rPr>
        <w:t>Roméo Mivekannin, “Young woman with peonies after Frédéric Bazille” (2023): Penafsiran ulang yang menarik dari potret klasik melalui perspektif pascakolonial.</w:t>
      </w:r>
    </w:p>
    <w:p w14:paraId="3EFD03B1">
      <w:pPr>
        <w:pStyle w:val="13"/>
        <w:numPr>
          <w:ilvl w:val="0"/>
          <w:numId w:val="1"/>
        </w:numPr>
        <w:tabs>
          <w:tab w:val="left" w:pos="720"/>
        </w:tabs>
        <w:jc w:val="both"/>
        <w:rPr>
          <w:rFonts w:ascii="Arial" w:hAnsi="Arial" w:cs="Arial"/>
          <w:bCs/>
          <w:sz w:val="20"/>
          <w:szCs w:val="20"/>
        </w:rPr>
      </w:pPr>
      <w:r>
        <w:rPr>
          <w:rFonts w:ascii="Arial" w:hAnsi="Arial" w:cs="Arial"/>
          <w:bCs/>
          <w:sz w:val="20"/>
          <w:szCs w:val="20"/>
        </w:rPr>
        <w:t>Basim Magdy, “An Intergalactic Messenger Teleported us to a Cave Settlement Ruled by Shared Compassion and Humility” (2022): Eksplorasi futurisme utopis yang penuh semangat.</w:t>
      </w:r>
    </w:p>
    <w:p w14:paraId="0B837F76">
      <w:pPr>
        <w:pStyle w:val="13"/>
        <w:numPr>
          <w:ilvl w:val="0"/>
          <w:numId w:val="1"/>
        </w:numPr>
        <w:tabs>
          <w:tab w:val="left" w:pos="720"/>
        </w:tabs>
        <w:jc w:val="both"/>
        <w:rPr>
          <w:rFonts w:ascii="Arial" w:hAnsi="Arial" w:cs="Arial"/>
          <w:bCs/>
          <w:sz w:val="20"/>
          <w:szCs w:val="20"/>
        </w:rPr>
      </w:pPr>
      <w:r>
        <w:rPr>
          <w:rFonts w:ascii="Arial" w:hAnsi="Arial" w:cs="Arial"/>
          <w:bCs/>
          <w:sz w:val="20"/>
          <w:szCs w:val="20"/>
        </w:rPr>
        <w:t>Zandile Tshabalala, “Pink Blossoms” (2024): Sebuah potret kuat yang merayakan feminitas dan alam kulit hitam.</w:t>
      </w:r>
    </w:p>
    <w:p w14:paraId="4EBD8365">
      <w:pPr>
        <w:pStyle w:val="13"/>
        <w:numPr>
          <w:ilvl w:val="0"/>
          <w:numId w:val="1"/>
        </w:numPr>
        <w:tabs>
          <w:tab w:val="left" w:pos="720"/>
        </w:tabs>
        <w:jc w:val="both"/>
        <w:rPr>
          <w:rFonts w:ascii="Arial" w:hAnsi="Arial" w:cs="Arial"/>
          <w:bCs/>
          <w:sz w:val="20"/>
          <w:szCs w:val="20"/>
        </w:rPr>
      </w:pPr>
      <w:r>
        <w:rPr>
          <w:rFonts w:ascii="Arial" w:hAnsi="Arial" w:cs="Arial"/>
          <w:bCs/>
          <w:sz w:val="20"/>
          <w:szCs w:val="20"/>
        </w:rPr>
        <w:t>Antonia Kuo, “Willo” (diptych) (2024): Komposisi dua panel yang mencolok yang memadukan manipulasi digital dengan teknik analog.</w:t>
      </w:r>
    </w:p>
    <w:p w14:paraId="57669601">
      <w:pPr>
        <w:tabs>
          <w:tab w:val="left" w:pos="720"/>
        </w:tabs>
        <w:jc w:val="both"/>
        <w:rPr>
          <w:rFonts w:ascii="Arial" w:hAnsi="Arial" w:cs="Arial"/>
          <w:bCs/>
          <w:sz w:val="20"/>
          <w:szCs w:val="20"/>
        </w:rPr>
      </w:pPr>
    </w:p>
    <w:p w14:paraId="21D5710D">
      <w:pPr>
        <w:jc w:val="both"/>
        <w:rPr>
          <w:rFonts w:ascii="Arial" w:hAnsi="Arial" w:cs="Arial"/>
          <w:bCs/>
          <w:sz w:val="20"/>
          <w:szCs w:val="20"/>
        </w:rPr>
      </w:pPr>
      <w:r>
        <w:rPr>
          <w:rFonts w:ascii="Arial" w:hAnsi="Arial" w:cs="Arial"/>
          <w:bCs/>
          <w:sz w:val="20"/>
          <w:szCs w:val="20"/>
        </w:rPr>
        <w:t xml:space="preserve">Koleksi ini juga dilengkapi dengan karya dari nama-nama besar seperti Jo Baer, Kibong Rhee, dan Lynn Hershman Leeson, yang semakin memperkaya kedalaman visual dan tema dari ABB tahun ini. </w:t>
      </w:r>
    </w:p>
    <w:p w14:paraId="102A3BE9">
      <w:pPr>
        <w:jc w:val="both"/>
        <w:rPr>
          <w:rFonts w:ascii="Arial" w:hAnsi="Arial" w:eastAsia="Yu Mincho" w:cs="Arial"/>
          <w:b/>
          <w:sz w:val="20"/>
          <w:szCs w:val="20"/>
        </w:rPr>
      </w:pPr>
      <w:r>
        <w:rPr>
          <w:rFonts w:ascii="Arial" w:hAnsi="Arial" w:eastAsia="Yu Mincho" w:cs="Arial"/>
          <w:b/>
          <w:sz w:val="20"/>
          <w:szCs w:val="20"/>
        </w:rPr>
        <w:t>ArtCube: Pengalaman Interaktif Samsung Art TV di Art Basel</w:t>
      </w:r>
    </w:p>
    <w:p w14:paraId="700AB59F">
      <w:pPr>
        <w:jc w:val="both"/>
        <w:rPr>
          <w:rFonts w:ascii="Arial" w:hAnsi="Arial" w:cs="Arial"/>
          <w:bCs/>
          <w:sz w:val="20"/>
          <w:szCs w:val="20"/>
        </w:rPr>
      </w:pPr>
      <w:r>
        <w:rPr>
          <w:rFonts w:ascii="Arial" w:hAnsi="Arial" w:cs="Arial"/>
          <w:bCs/>
          <w:sz w:val="20"/>
          <w:szCs w:val="20"/>
        </w:rPr>
        <w:t>Untuk semakin menonjolkan pertemuan antara seni dan teknologi, Samsung menghadirkan ArtCube</w:t>
      </w:r>
      <w:r>
        <w:rPr>
          <w:rStyle w:val="9"/>
          <w:rFonts w:ascii="Arial" w:hAnsi="Arial" w:cs="Arial"/>
          <w:bCs/>
          <w:sz w:val="20"/>
          <w:szCs w:val="20"/>
        </w:rPr>
        <w:footnoteReference w:id="2"/>
      </w:r>
      <w:r>
        <w:rPr>
          <w:rFonts w:ascii="Arial" w:hAnsi="Arial" w:cs="Arial"/>
          <w:bCs/>
          <w:sz w:val="20"/>
          <w:szCs w:val="20"/>
        </w:rPr>
        <w:t>, sebuah ruang interaktif di Art Basel. Lewat instalasi imersif ini, pengunjung diajak mengeksplorasi bagaimana perangkat The Frame, dan Neo QLED 8K mendefinisikan ulang pengalaman menikmati seni digital dengan tampilan karya yang memukau dalam detail dan kedalaman luar biasa—termasuk pilihan karya dari Art Basel Collection.</w:t>
      </w:r>
    </w:p>
    <w:p w14:paraId="5849EC5C">
      <w:pPr>
        <w:jc w:val="both"/>
        <w:rPr>
          <w:rFonts w:ascii="Arial" w:hAnsi="Arial" w:cs="Arial"/>
          <w:bCs/>
          <w:sz w:val="20"/>
          <w:szCs w:val="20"/>
        </w:rPr>
      </w:pPr>
      <w:r>
        <w:rPr>
          <w:rFonts w:ascii="Arial" w:hAnsi="Arial" w:cs="Arial"/>
          <w:bCs/>
          <w:sz w:val="20"/>
          <w:szCs w:val="20"/>
        </w:rPr>
        <w:t xml:space="preserve">Di ArtCube, pengunjung dapat langsung berinteraksi dengan koleksi eksklusif Samsung Art Store serta menikmati kualitas visual premium dari jajaran Samsung Art TV. Mereka juga bisa membuat potret yang dipersonalisasi dari karya seni bergerak, yang hanya tersedia melalui kurasi khusus ArtCube. Selain pengalaman lounge interaktif, Samsung juga akan menggelar serangkaian diskusi panel bersama tokoh-tokoh berpengaruh dalam seni kontemporer. Diskusi ini akan membahas peran teknologi yang semakin besar dalam mendukung ekspresi dan aksesibilitas seni di era digital. </w:t>
      </w:r>
    </w:p>
    <w:p w14:paraId="6064C8B6">
      <w:pPr>
        <w:jc w:val="both"/>
        <w:rPr>
          <w:rFonts w:ascii="Arial" w:hAnsi="Arial" w:cs="Arial"/>
          <w:b/>
          <w:sz w:val="20"/>
          <w:szCs w:val="20"/>
        </w:rPr>
      </w:pPr>
      <w:r>
        <w:rPr>
          <w:rFonts w:ascii="Arial" w:hAnsi="Arial" w:cs="Arial"/>
          <w:b/>
          <w:sz w:val="20"/>
          <w:szCs w:val="20"/>
        </w:rPr>
        <w:t>Memperkuat Kolaborasi Budaya</w:t>
      </w:r>
    </w:p>
    <w:p w14:paraId="3C69F0B4">
      <w:pPr>
        <w:jc w:val="both"/>
        <w:rPr>
          <w:rFonts w:ascii="Arial" w:hAnsi="Arial" w:cs="Arial"/>
          <w:bCs/>
          <w:sz w:val="20"/>
          <w:szCs w:val="20"/>
        </w:rPr>
      </w:pPr>
      <w:r>
        <w:rPr>
          <w:rFonts w:ascii="Arial" w:hAnsi="Arial" w:cs="Arial"/>
          <w:bCs/>
          <w:sz w:val="20"/>
          <w:szCs w:val="20"/>
        </w:rPr>
        <w:t>Samsung Art Basel terus memperluas kemitraan dengan memperkenalkan koleksi seni digital kurasi yang dimulai dari Art Basel Miami Beach 2024, Art Basel Hong Kong 2025, hingga Art Basel in Basel 2025. Karya seni yang diluncurkan di Art Basel Hong Kong pada Maret lalu berhasil mencuri perhatian pengguna Samsung Art Store secara global, bahkan masuk dalam jajaran 10 besar karya seni yang paling dilihat</w:t>
      </w:r>
      <w:r>
        <w:rPr>
          <w:rStyle w:val="9"/>
          <w:rFonts w:ascii="Arial" w:hAnsi="Arial" w:cs="Arial"/>
          <w:bCs/>
          <w:sz w:val="20"/>
          <w:szCs w:val="20"/>
        </w:rPr>
        <w:footnoteReference w:id="3"/>
      </w:r>
      <w:r>
        <w:rPr>
          <w:rFonts w:ascii="Arial" w:hAnsi="Arial" w:cs="Arial"/>
          <w:bCs/>
          <w:sz w:val="20"/>
          <w:szCs w:val="20"/>
        </w:rPr>
        <w:t xml:space="preserve">. Kolaborasi berkelanjutan ini mencerminkan visi bersama untuk menjadikan layar televisi sebagai medium dinamis untuk bercerita dan membuka ruang dialog artistik. </w:t>
      </w:r>
    </w:p>
    <w:p w14:paraId="1C0701AC">
      <w:pPr>
        <w:jc w:val="both"/>
        <w:rPr>
          <w:rFonts w:ascii="Arial" w:hAnsi="Arial" w:cs="Arial"/>
          <w:bCs/>
          <w:sz w:val="20"/>
          <w:szCs w:val="20"/>
        </w:rPr>
      </w:pPr>
      <w:r>
        <w:rPr>
          <w:rFonts w:ascii="Arial" w:hAnsi="Arial" w:cs="Arial"/>
          <w:bCs/>
          <w:sz w:val="20"/>
          <w:szCs w:val="20"/>
        </w:rPr>
        <w:t xml:space="preserve"> “Dengan diluncurkannya koleksi baru di Samsung Art Store untuk Art Basel in Basel 2025, kami sangat senang bisa menawarkan cara baru bagi audiens global untuk terhubung dengan pameran kami,” ujar Maike Cruse, Direktur Art Basel in Basel. “Kemitraan global kami dengan Samsung memperluas pengalaman para pengunjung jauh melampaui batas fisik area pameran di Messe langsung ke dalam rumah-rumah mereka—membuka akses baru untuk mengenal seniman dan galeri luar biasa yang menjadi sorotan di pameran utama kami di Basel.” </w:t>
      </w:r>
    </w:p>
    <w:p w14:paraId="1C21B8BD">
      <w:pPr>
        <w:jc w:val="both"/>
        <w:rPr>
          <w:rFonts w:ascii="Arial" w:hAnsi="Arial" w:eastAsia="MS Mincho" w:cs="Arial"/>
          <w:b/>
          <w:bCs/>
          <w:sz w:val="20"/>
          <w:szCs w:val="20"/>
        </w:rPr>
      </w:pPr>
      <w:r>
        <w:rPr>
          <w:rFonts w:ascii="Arial" w:hAnsi="Arial" w:eastAsia="MS Mincho" w:cs="Arial"/>
          <w:b/>
          <w:bCs/>
          <w:sz w:val="20"/>
          <w:szCs w:val="20"/>
        </w:rPr>
        <w:t>Menyempurnakan Pengalaman Seni Melalui Samsung Art TVs</w:t>
      </w:r>
    </w:p>
    <w:p w14:paraId="53E3CE3D">
      <w:pPr>
        <w:jc w:val="both"/>
        <w:rPr>
          <w:rFonts w:ascii="Arial" w:hAnsi="Arial" w:eastAsia="MS Mincho" w:cs="Arial"/>
          <w:bCs/>
          <w:sz w:val="20"/>
          <w:szCs w:val="20"/>
        </w:rPr>
      </w:pPr>
      <w:r>
        <w:rPr>
          <w:rFonts w:ascii="Arial" w:hAnsi="Arial" w:eastAsia="MS Mincho" w:cs="Arial"/>
          <w:bCs/>
          <w:sz w:val="20"/>
          <w:szCs w:val="20"/>
        </w:rPr>
        <w:t xml:space="preserve">Samsung Art Store menawarkan cara unik untuk mengubah TV menjadi karya seni dan memperindah ruangan dengan koleksi yang cocok untuk setiap musim, suasana hati, atau momen special. Pengguna bisa memilih dari lebih dari 3.500+ karya seni dari lebih dari 800 seniman, termasuk koleksi ABB. </w:t>
      </w:r>
    </w:p>
    <w:p w14:paraId="75F5A70E">
      <w:pPr>
        <w:jc w:val="both"/>
        <w:rPr>
          <w:rFonts w:ascii="Arial" w:hAnsi="Arial" w:eastAsia="MS Mincho" w:cs="Arial"/>
          <w:bCs/>
          <w:sz w:val="20"/>
          <w:szCs w:val="20"/>
        </w:rPr>
      </w:pPr>
      <w:r>
        <w:rPr>
          <w:rFonts w:ascii="Arial" w:hAnsi="Arial" w:eastAsia="MS Mincho" w:cs="Arial"/>
          <w:bCs/>
          <w:sz w:val="20"/>
          <w:szCs w:val="20"/>
        </w:rPr>
        <w:t>Tersedia di jajaran TV Samsung 2025 seperti Neo QLED 8K, Neo QLED, QLED, dan The Frame yang kini ditenagai Samsung Vision AI untuk kualitas gambar dan suara yang disempurnakan AI, Samsung Art Store kini hadir lebih luas dengan fitur personalisasi baru—membawa pengguna lebih dekat dengan tontonan dan karya favorit mereka. Di seluruh lini produk ini, Samsung menawarkan lebih banyak cara dari sebelumnya untuk mengubah layar TV menjadi galeri seni yang dipersonalisasi.</w:t>
      </w:r>
    </w:p>
    <w:p w14:paraId="3F97C6AA">
      <w:pPr>
        <w:rPr>
          <w:rFonts w:ascii="Arial" w:hAnsi="Arial" w:cs="Arial"/>
          <w:bCs/>
          <w:sz w:val="20"/>
          <w:szCs w:val="20"/>
        </w:rPr>
      </w:pPr>
      <w:r>
        <w:rPr>
          <w:rFonts w:ascii="Arial" w:hAnsi="Arial" w:cs="Arial"/>
          <w:bCs/>
          <w:sz w:val="20"/>
          <w:szCs w:val="20"/>
        </w:rPr>
        <w:t>Koleksi Art Basel in Basel kini tersedia secara eksklusif di Samsung Art Store untuk seluruh pengguna Samsung Art TVs.</w:t>
      </w:r>
    </w:p>
    <w:p w14:paraId="5B927515">
      <w:pPr>
        <w:rPr>
          <w:rFonts w:ascii="Arial" w:hAnsi="Arial" w:cs="Arial"/>
          <w:sz w:val="20"/>
          <w:szCs w:val="20"/>
        </w:rPr>
      </w:pPr>
      <w:r>
        <w:rPr>
          <w:rFonts w:ascii="Arial" w:hAnsi="Arial" w:cs="Arial"/>
          <w:sz w:val="20"/>
          <w:szCs w:val="20"/>
        </w:rPr>
        <w:t xml:space="preserve">Untuk info selanjutnya, silakan kunjungi </w:t>
      </w:r>
      <w:r>
        <w:fldChar w:fldCharType="begin"/>
      </w:r>
      <w:r>
        <w:instrText xml:space="preserve"> HYPERLINK "http://www.samsung.com" </w:instrText>
      </w:r>
      <w:r>
        <w:fldChar w:fldCharType="separate"/>
      </w:r>
      <w:r>
        <w:rPr>
          <w:rStyle w:val="12"/>
          <w:rFonts w:ascii="Arial" w:hAnsi="Arial" w:cs="Arial"/>
          <w:color w:val="auto"/>
          <w:sz w:val="20"/>
          <w:szCs w:val="20"/>
        </w:rPr>
        <w:t>www.samsung.com</w:t>
      </w:r>
      <w:r>
        <w:rPr>
          <w:rStyle w:val="12"/>
          <w:rFonts w:ascii="Arial" w:hAnsi="Arial" w:cs="Arial"/>
          <w:color w:val="auto"/>
          <w:sz w:val="20"/>
          <w:szCs w:val="20"/>
        </w:rPr>
        <w:fldChar w:fldCharType="end"/>
      </w:r>
      <w:r>
        <w:rPr>
          <w:rFonts w:ascii="Arial" w:hAnsi="Arial" w:cs="Arial"/>
          <w:sz w:val="20"/>
          <w:szCs w:val="20"/>
        </w:rPr>
        <w:t>.</w:t>
      </w:r>
    </w:p>
    <w:p w14:paraId="1CA297FF">
      <w:pPr>
        <w:jc w:val="center"/>
        <w:rPr>
          <w:rFonts w:ascii="Arial" w:hAnsi="Arial" w:cs="Arial"/>
          <w:sz w:val="20"/>
          <w:szCs w:val="20"/>
        </w:rPr>
      </w:pPr>
      <w:r>
        <w:rPr>
          <w:rFonts w:ascii="Arial" w:hAnsi="Arial" w:cs="Arial"/>
          <w:sz w:val="20"/>
          <w:szCs w:val="20"/>
        </w:rPr>
        <w:t>###</w:t>
      </w:r>
    </w:p>
    <w:p w14:paraId="24ADE4A9">
      <w:pPr>
        <w:rPr>
          <w:rFonts w:ascii="Arial" w:hAnsi="Arial" w:cs="Arial"/>
          <w:sz w:val="20"/>
          <w:szCs w:val="20"/>
        </w:rPr>
      </w:pPr>
      <w:r>
        <w:rPr>
          <w:rFonts w:ascii="Arial" w:hAnsi="Arial" w:cs="Arial"/>
          <w:b/>
          <w:sz w:val="20"/>
          <w:szCs w:val="20"/>
          <w:u w:val="single"/>
        </w:rPr>
        <w:t>Tentang Samsung Electronics Co., Ltd.</w:t>
      </w:r>
    </w:p>
    <w:p w14:paraId="6839DD9C">
      <w:pPr>
        <w:jc w:val="both"/>
        <w:rPr>
          <w:rFonts w:ascii="Arial" w:hAnsi="Arial" w:cs="Arial"/>
          <w:sz w:val="20"/>
          <w:szCs w:val="20"/>
        </w:rPr>
      </w:pPr>
      <w:r>
        <w:rPr>
          <w:rFonts w:ascii="Arial" w:hAnsi="Arial" w:cs="Arial"/>
          <w:sz w:val="20"/>
          <w:szCs w:val="20"/>
        </w:rPr>
        <w:t xml:space="preserve">Samsung menginspirasi dunia dan membentuk masa depan dengan ide dan teknologi transformatif. Perusahaan ini mendefinisikan ulang dunia TV, smartphone, wearable device, tablet, peralatan digital, sistem jaringan, dan memori, sistem LSI, foundry, dan LED. Untuk berita terbaru, silakan kunjungi Samsung Newsroom di </w:t>
      </w:r>
      <w:r>
        <w:fldChar w:fldCharType="begin"/>
      </w:r>
      <w:r>
        <w:instrText xml:space="preserve"> HYPERLINK "https://news.samsung.com/" </w:instrText>
      </w:r>
      <w:r>
        <w:fldChar w:fldCharType="separate"/>
      </w:r>
      <w:r>
        <w:rPr>
          <w:rStyle w:val="12"/>
          <w:rFonts w:ascii="Arial" w:hAnsi="Arial" w:cs="Arial"/>
          <w:color w:val="auto"/>
          <w:sz w:val="20"/>
          <w:szCs w:val="20"/>
        </w:rPr>
        <w:t>news.samsung.com</w:t>
      </w:r>
      <w:r>
        <w:rPr>
          <w:rStyle w:val="12"/>
          <w:rFonts w:ascii="Arial" w:hAnsi="Arial" w:cs="Arial"/>
          <w:color w:val="auto"/>
          <w:sz w:val="20"/>
          <w:szCs w:val="20"/>
        </w:rPr>
        <w:fldChar w:fldCharType="end"/>
      </w:r>
      <w:r>
        <w:rPr>
          <w:rFonts w:ascii="Arial" w:hAnsi="Arial" w:cs="Arial"/>
          <w:sz w:val="20"/>
          <w:szCs w:val="20"/>
        </w:rPr>
        <w:t>.</w:t>
      </w:r>
    </w:p>
    <w:p w14:paraId="0EF7A289">
      <w:pPr>
        <w:rPr>
          <w:rFonts w:ascii="Arial" w:hAnsi="Arial" w:cs="Arial"/>
          <w:bCs/>
          <w:sz w:val="20"/>
          <w:szCs w:val="20"/>
          <w:lang w:eastAsia="ko-KR"/>
        </w:rPr>
      </w:pPr>
      <w:r>
        <w:rPr>
          <w:rFonts w:ascii="Arial" w:hAnsi="Arial" w:cs="Arial"/>
          <w:b/>
          <w:sz w:val="20"/>
          <w:szCs w:val="20"/>
          <w:u w:val="single"/>
        </w:rPr>
        <w:t>Tentang Art Basel</w:t>
      </w:r>
    </w:p>
    <w:p w14:paraId="4D2314B8">
      <w:pPr>
        <w:jc w:val="both"/>
        <w:rPr>
          <w:rFonts w:ascii="Arial" w:hAnsi="Arial" w:cs="Arial"/>
          <w:bCs/>
          <w:sz w:val="20"/>
          <w:szCs w:val="20"/>
          <w:lang w:eastAsia="ko-KR"/>
        </w:rPr>
      </w:pPr>
      <w:r>
        <w:rPr>
          <w:rFonts w:ascii="Arial" w:hAnsi="Arial" w:cs="Arial"/>
          <w:bCs/>
          <w:sz w:val="20"/>
          <w:szCs w:val="20"/>
          <w:lang w:eastAsia="ko-KR"/>
        </w:rPr>
        <w:t xml:space="preserve">Didirikan pada tahun 1970 oleh para galerist asal Basel, Art Basel kini menjadi penyelenggara pameran seni terkemuka di dunia untuk seni Modern dan kontemporer. Pameran ini digelar di empat kota besar dunia: Basel, Miami Beach, Hong Kong, dan Paris. Setiap edisi memiliki ciri khas tersendiri yang merefleksikan karakter kota dan wilayah tempat pameran berlangsung, baik dari segi galeri peserta, karya seni yang ditampilkan, hingga program paralel yang dikembangkan bersama institusi lokal. Keterlibatan Art Basel kini meluas ke ranah digital melalui berbagai platform baru, termasuk aplikasi Art Basel dan sejumlah inisiatif seperti Art Basel and UBS Global Art Market Report serta Art Basel Awards. UBS merupakan mitra utama global Art Basel. Untuk informasi lebih lanjut, kunjungi </w:t>
      </w:r>
      <w:r>
        <w:fldChar w:fldCharType="begin"/>
      </w:r>
      <w:r>
        <w:instrText xml:space="preserve"> HYPERLINK "https://www.artbasel.com/" </w:instrText>
      </w:r>
      <w:r>
        <w:fldChar w:fldCharType="separate"/>
      </w:r>
      <w:r>
        <w:rPr>
          <w:rStyle w:val="12"/>
          <w:rFonts w:hint="eastAsia" w:ascii="Arial" w:hAnsi="Arial" w:cs="Arial"/>
          <w:bCs/>
          <w:color w:val="auto"/>
          <w:sz w:val="20"/>
          <w:szCs w:val="20"/>
          <w:lang w:eastAsia="ko-KR"/>
        </w:rPr>
        <w:t>artbasel.com</w:t>
      </w:r>
      <w:r>
        <w:rPr>
          <w:rStyle w:val="12"/>
          <w:rFonts w:hint="eastAsia" w:ascii="Arial" w:hAnsi="Arial" w:cs="Arial"/>
          <w:bCs/>
          <w:color w:val="auto"/>
          <w:sz w:val="20"/>
          <w:szCs w:val="20"/>
          <w:lang w:eastAsia="ko-KR"/>
        </w:rPr>
        <w:fldChar w:fldCharType="end"/>
      </w:r>
      <w:r>
        <w:rPr>
          <w:rFonts w:hint="eastAsia" w:ascii="Arial" w:hAnsi="Arial" w:cs="Arial"/>
          <w:bCs/>
          <w:sz w:val="20"/>
          <w:szCs w:val="20"/>
          <w:lang w:eastAsia="ko-KR"/>
        </w:rPr>
        <w:t>.</w:t>
      </w:r>
    </w:p>
    <w:p w14:paraId="55DEC476">
      <w:pPr>
        <w:rPr>
          <w:rFonts w:ascii="Arial" w:hAnsi="Arial" w:cs="Arial"/>
          <w:bCs/>
          <w:color w:val="2E75B6" w:themeColor="accent1" w:themeShade="BF"/>
          <w:sz w:val="20"/>
          <w:szCs w:val="20"/>
          <w:lang w:eastAsia="ko-KR"/>
        </w:rPr>
      </w:pPr>
    </w:p>
    <w:p w14:paraId="5E23D91A"/>
    <w:sectPr>
      <w:footerReference r:id="rId6" w:type="first"/>
      <w:footerReference r:id="rId5" w:type="even"/>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Yu Mincho">
    <w:altName w:val="Yu Gothic"/>
    <w:panose1 w:val="00000000000000000000"/>
    <w:charset w:val="80"/>
    <w:family w:val="roman"/>
    <w:pitch w:val="default"/>
    <w:sig w:usb0="00000000" w:usb1="00000000" w:usb2="00000012" w:usb3="00000000" w:csb0="0002009F" w:csb1="00000000"/>
  </w:font>
  <w:font w:name="MS Mincho">
    <w:altName w:val="Yu Gothic UI"/>
    <w:panose1 w:val="02020609040205080304"/>
    <w:charset w:val="80"/>
    <w:family w:val="modern"/>
    <w:pitch w:val="default"/>
    <w:sig w:usb0="00000000" w:usb1="00000000" w:usb2="08000012" w:usb3="00000000" w:csb0="000200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4DC37">
    <w:pPr>
      <w:pStyle w:val="8"/>
    </w:pPr>
    <w:r>
      <w:rPr>
        <w:lang w:eastAsia="ko-KR"/>
      </w:rPr>
      <mc:AlternateContent>
        <mc:Choice Requires="wps">
          <w:drawing>
            <wp:anchor distT="0" distB="0" distL="0" distR="0" simplePos="0" relativeHeight="251659264" behindDoc="0" locked="0" layoutInCell="1" allowOverlap="1">
              <wp:simplePos x="0" y="0"/>
              <wp:positionH relativeFrom="page">
                <wp:align>center</wp:align>
              </wp:positionH>
              <wp:positionV relativeFrom="page">
                <wp:align>bottom</wp:align>
              </wp:positionV>
              <wp:extent cx="2895600" cy="352425"/>
              <wp:effectExtent l="0" t="0" r="0" b="0"/>
              <wp:wrapNone/>
              <wp:docPr id="648090133" name="Text Box 2" descr="Confidential - Not for Public Consumption or Distribution"/>
              <wp:cNvGraphicFramePr/>
              <a:graphic xmlns:a="http://schemas.openxmlformats.org/drawingml/2006/main">
                <a:graphicData uri="http://schemas.microsoft.com/office/word/2010/wordprocessingShape">
                  <wps:wsp>
                    <wps:cNvSpPr txBox="1"/>
                    <wps:spPr>
                      <a:xfrm>
                        <a:off x="0" y="0"/>
                        <a:ext cx="2895600" cy="352425"/>
                      </a:xfrm>
                      <a:prstGeom prst="rect">
                        <a:avLst/>
                      </a:prstGeom>
                      <a:noFill/>
                      <a:ln>
                        <a:noFill/>
                      </a:ln>
                    </wps:spPr>
                    <wps:txbx>
                      <w:txbxContent>
                        <w:p w14:paraId="0B5BACC5">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2" o:spid="_x0000_s1026" o:spt="202" alt="Confidential - Not for Public Consumption or Distribution" type="#_x0000_t202" style="position:absolute;left:0pt;height:27.75pt;width:228pt;mso-position-horizontal:center;mso-position-horizontal-relative:page;mso-position-vertical:bottom;mso-position-vertical-relative:page;mso-wrap-style:none;z-index:251659264;v-text-anchor:bottom;mso-width-relative:page;mso-height-relative:page;" filled="f" stroked="f" coordsize="21600,21600" o:gfxdata="UEsDBAoAAAAAAIdO4kAAAAAAAAAAAAAAAAAEAAAAZHJzL1BLAwQUAAAACACHTuJAiMfFltMAAAAE&#10;AQAADwAAAGRycy9kb3ducmV2LnhtbE2PwU7DMAyG70i8Q2QkbizdRidUmu4widMQ0jYu3LLEawuN&#10;UzXu1r09hgtcLP36rc+fy/UUOnXGIbWRDMxnGSgkF31LtYH3w8vDE6jElrztIqGBKyZYV7c3pS18&#10;vNAOz3uulUAoFdZAw9wXWifXYLBpFnsk6U5xCJYlDrX2g70IPHR6kWUrHWxLcqGxPW4adF/7MRjI&#10;d/w6vtFh+TEtrp/bfuOWp60z5v5unj2DYpz4bxl+9EUdKnE6xpF8Up0BeYR/p3SP+UriUcB5Droq&#10;9X/56htQSwMEFAAAAAgAh07iQAzm5g1QAgAAmQQAAA4AAABkcnMvZTJvRG9jLnhtbK1UwU4bMRC9&#10;V+o/WL7DbgJBELFBKRFVJQSRoOrZ6/WylmyPZXvZ0K/v824CLe2BQy/O84zzZubNzF5e7axhzypE&#10;Ta7is+OSM+UkNdo9Vfz7483ROWcxCdcIQ05V/EVFfrX6/Oly8Es1p45MowIDiYvLwVe8S8kviyLK&#10;TlkRj8krB2dLwYqEa3gqmiAGsFtTzMvyrBgoND6QVDHCupmcfM8YPkJIbaul2pDsrXJpYg3KiISS&#10;Yqd95Ksx27ZVMt23bVSJmYqj0jSeCAJc57NYXYrlUxC+03KfgvhICu9qskI7BH2l2ogkWB/0X1RW&#10;y0CR2nQsyRZTIaMiqGJWvtPmoRNejbVA6uhfRY//j1bePW8D003Fz07Py4tydnLCmRMWjX9Uu8S+&#10;0I7NOWtUlFDtmlyrG2iuhWFH7I4SQ6PZtq8N5IM39tbnLjBYNzqmoOs+37POg49LhHvwCJh2IMb0&#10;HewRxizfrg02/0IYBj+69PLapZyOhHF+frE4K+GS8J0s5qfzRaYp3v7tQ0xfFVmWQcUDpmBsjni+&#10;jWl6eniSgzm60caMk2DcHwZwZkuRU59SzCjt6t2+npqaF5QTaBqs6OWNRsxbEdNWBEwS0sSupXsc&#10;raGh4rRHnHUUfv7Lnt+jwfByNmAyK+6wiJyZbw6NB2E6gHAA9QhmF+Ui6+J6e02Y9xkW2csRwhqS&#10;OcA2kP2BLVznQHAJJxGu4vUBXqdpRdBcqdbr8RHm1Yt06x68zNRZp+jXfYJ4o6ZZmUmOvWCY2LEr&#10;++3KK/H7fXz19kVZ/Q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Ix8WW0wAAAAQBAAAPAAAAAAAA&#10;AAEAIAAAACIAAABkcnMvZG93bnJldi54bWxQSwECFAAUAAAACACHTuJADObmDVACAACZBAAADgAA&#10;AAAAAAABACAAAAAiAQAAZHJzL2Uyb0RvYy54bWxQSwUGAAAAAAYABgBZAQAA5AUAAAAA&#10;">
              <v:fill on="f" focussize="0,0"/>
              <v:stroke on="f"/>
              <v:imagedata o:title=""/>
              <o:lock v:ext="edit" aspectratio="f"/>
              <v:textbox inset="0mm,0mm,0mm,15pt" style="mso-fit-shape-to-text:t;">
                <w:txbxContent>
                  <w:p w14:paraId="0B5BACC5">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8E9C1">
    <w:pPr>
      <w:pStyle w:val="8"/>
    </w:pPr>
    <w:r>
      <w:rPr>
        <w:lang w:eastAsia="ko-KR"/>
      </w:rPr>
      <mc:AlternateContent>
        <mc:Choice Requires="wps">
          <w:drawing>
            <wp:anchor distT="0" distB="0" distL="0" distR="0" simplePos="0" relativeHeight="251660288" behindDoc="0" locked="0" layoutInCell="1" allowOverlap="1">
              <wp:simplePos x="0" y="0"/>
              <wp:positionH relativeFrom="page">
                <wp:align>center</wp:align>
              </wp:positionH>
              <wp:positionV relativeFrom="page">
                <wp:align>bottom</wp:align>
              </wp:positionV>
              <wp:extent cx="2895600" cy="352425"/>
              <wp:effectExtent l="0" t="0" r="0" b="0"/>
              <wp:wrapNone/>
              <wp:docPr id="794997176" name="Text Box 1" descr="Confidential - Not for Public Consumption or Distribution"/>
              <wp:cNvGraphicFramePr/>
              <a:graphic xmlns:a="http://schemas.openxmlformats.org/drawingml/2006/main">
                <a:graphicData uri="http://schemas.microsoft.com/office/word/2010/wordprocessingShape">
                  <wps:wsp>
                    <wps:cNvSpPr txBox="1"/>
                    <wps:spPr>
                      <a:xfrm>
                        <a:off x="0" y="0"/>
                        <a:ext cx="2895600" cy="352425"/>
                      </a:xfrm>
                      <a:prstGeom prst="rect">
                        <a:avLst/>
                      </a:prstGeom>
                      <a:noFill/>
                      <a:ln>
                        <a:noFill/>
                      </a:ln>
                    </wps:spPr>
                    <wps:txbx>
                      <w:txbxContent>
                        <w:p w14:paraId="2C554736">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1" o:spid="_x0000_s1026" o:spt="202" alt="Confidential - Not for Public Consumption or Distribution" type="#_x0000_t202" style="position:absolute;left:0pt;height:27.75pt;width:228pt;mso-position-horizontal:center;mso-position-horizontal-relative:page;mso-position-vertical:bottom;mso-position-vertical-relative:page;mso-wrap-style:none;z-index:251660288;v-text-anchor:bottom;mso-width-relative:page;mso-height-relative:page;" filled="f" stroked="f" coordsize="21600,21600" o:gfxdata="UEsDBAoAAAAAAIdO4kAAAAAAAAAAAAAAAAAEAAAAZHJzL1BLAwQUAAAACACHTuJAiMfFltMAAAAE&#10;AQAADwAAAGRycy9kb3ducmV2LnhtbE2PwU7DMAyG70i8Q2QkbizdRidUmu4widMQ0jYu3LLEawuN&#10;UzXu1r09hgtcLP36rc+fy/UUOnXGIbWRDMxnGSgkF31LtYH3w8vDE6jElrztIqGBKyZYV7c3pS18&#10;vNAOz3uulUAoFdZAw9wXWifXYLBpFnsk6U5xCJYlDrX2g70IPHR6kWUrHWxLcqGxPW4adF/7MRjI&#10;d/w6vtFh+TEtrp/bfuOWp60z5v5unj2DYpz4bxl+9EUdKnE6xpF8Up0BeYR/p3SP+UriUcB5Droq&#10;9X/56htQSwMEFAAAAAgAh07iQE05n+ZQAgAAmQQAAA4AAABkcnMvZTJvRG9jLnhtbK1UwU4bMRC9&#10;V+o/WL7DJikBErFBKRFVJVSQoOrZ6/WylmyPZXvZpV/f590EWtoDh16c8YzzZua9mb24HKxhTypE&#10;Ta7k8+MZZ8pJqrV7LPn3h+ujc85iEq4Whpwq+bOK/HLz8cNF79dqQS2ZWgUGEBfXvS95m5JfF0WU&#10;rbIiHpNXDsGGghUJ1/BY1EH0QLemWMxmp0VPofaBpIoR3t0U5HvE8B5Aahot1Y5kZ5VLE2pQRiS0&#10;FFvtI9+M1TaNkum2aaJKzJQcnabxRBLYVT6LzYVYPwbhWy33JYj3lPCmJyu0Q9IXqJ1IgnVB/wVl&#10;tQwUqUnHkmwxNTIygi7mszfc3LfCq7EXUB39C+nx/8HKb093gem65Gerk9XqbH52ypkTFsI/qCGx&#10;zzSwOWe1ihKsXZFrdA3OtTDsiH2jxCA0u+sqA/oQjZ31WQUG707HFHTV5XvmufdxjXT3HgnTAGBM&#10;38Ef4cz0DU2w+RfEMMSh0vOLSrkcCefifLU8nSEkEfu0XJwslhmmeP23DzF9UWRZNkoeMAWjOOLp&#10;Jqbp6eFJTuboWhszToJxfziAmT1FLn0qMVtpqIZ9PxXVz2gn0DRY0ctrjZw3IqY7ETBJKBO7lm5x&#10;NIb6ktPe4qyl8PNf/vweAiPKWY/JLLnDInJmvjoID8B0MMLBqEZjvpotMy+us1eEeYduKGg04Q3J&#10;HMwmkP2BLdzmRAgJJ5Gu5NXBvErTikBcqbbb8RHm1Yt04+69zNCZp+i3XQJ5I6eZmYmOPWGY2FGV&#10;/Xbllfj9Pr56/aJsf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Ix8WW0wAAAAQBAAAPAAAAAAAA&#10;AAEAIAAAACIAAABkcnMvZG93bnJldi54bWxQSwECFAAUAAAACACHTuJATTmf5lACAACZBAAADgAA&#10;AAAAAAABACAAAAAiAQAAZHJzL2Uyb0RvYy54bWxQSwUGAAAAAAYABgBZAQAA5AUAAAAA&#10;">
              <v:fill on="f" focussize="0,0"/>
              <v:stroke on="f"/>
              <v:imagedata o:title=""/>
              <o:lock v:ext="edit" aspectratio="f"/>
              <v:textbox inset="0mm,0mm,0mm,15pt" style="mso-fit-shape-to-text:t;">
                <w:txbxContent>
                  <w:p w14:paraId="2C554736">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pPr>
        <w:spacing w:before="0" w:after="0" w:line="279" w:lineRule="auto"/>
      </w:pPr>
      <w:r>
        <w:separator/>
      </w:r>
    </w:p>
  </w:footnote>
  <w:footnote w:type="continuationSeparator" w:id="9">
    <w:p>
      <w:pPr>
        <w:spacing w:before="0" w:after="0" w:line="279" w:lineRule="auto"/>
      </w:pPr>
      <w:r>
        <w:continuationSeparator/>
      </w:r>
    </w:p>
  </w:footnote>
  <w:footnote w:id="0">
    <w:p w14:paraId="09082E79">
      <w:pPr>
        <w:pStyle w:val="10"/>
        <w:rPr>
          <w:rFonts w:ascii="Arial" w:hAnsi="Arial" w:cs="Arial"/>
          <w:sz w:val="16"/>
          <w:szCs w:val="16"/>
        </w:rPr>
      </w:pPr>
      <w:r>
        <w:rPr>
          <w:rStyle w:val="9"/>
        </w:rPr>
        <w:footnoteRef/>
      </w:r>
      <w:r>
        <w:t xml:space="preserve"> </w:t>
      </w:r>
      <w:r>
        <w:rPr>
          <w:rFonts w:ascii="Arial" w:hAnsi="Arial" w:cs="Arial"/>
          <w:sz w:val="16"/>
          <w:szCs w:val="16"/>
        </w:rPr>
        <w:t>Samsung Art TV mencakup model The Frame, Neo QLED 8K, Neo QLED, and QLED mulai dari Q7F ke atas.</w:t>
      </w:r>
    </w:p>
  </w:footnote>
  <w:footnote w:id="1">
    <w:p w14:paraId="0567EF94">
      <w:pPr>
        <w:pStyle w:val="10"/>
      </w:pPr>
      <w:r>
        <w:rPr>
          <w:rStyle w:val="9"/>
        </w:rPr>
        <w:footnoteRef/>
      </w:r>
      <w:r>
        <w:t xml:space="preserve"> </w:t>
      </w:r>
      <w:r>
        <w:rPr>
          <w:rFonts w:ascii="Arial" w:hAnsi="Arial" w:cs="Arial"/>
          <w:sz w:val="16"/>
          <w:szCs w:val="16"/>
        </w:rPr>
        <w:t>Acara ini terbuka untuk umum dari tanggal 19-22 Juni, setelah pembukaan VIP dari tanggal 16-18 Juni.</w:t>
      </w:r>
    </w:p>
  </w:footnote>
  <w:footnote w:id="2">
    <w:p w14:paraId="57C14DD6">
      <w:pPr>
        <w:pStyle w:val="10"/>
      </w:pPr>
      <w:r>
        <w:rPr>
          <w:rStyle w:val="9"/>
        </w:rPr>
        <w:footnoteRef/>
      </w:r>
      <w:r>
        <w:t xml:space="preserve"> </w:t>
      </w:r>
      <w:r>
        <w:rPr>
          <w:rFonts w:ascii="Arial" w:hAnsi="Arial" w:cs="Arial"/>
          <w:sz w:val="16"/>
          <w:szCs w:val="16"/>
        </w:rPr>
        <w:t>Samsung Lounge ‘ArtCube’ berada di Halle 1, lantai pameran utama di dalam Messe Basel.</w:t>
      </w:r>
    </w:p>
  </w:footnote>
  <w:footnote w:id="3">
    <w:p w14:paraId="1DCAE0BA">
      <w:pPr>
        <w:pStyle w:val="10"/>
      </w:pPr>
      <w:r>
        <w:rPr>
          <w:rStyle w:val="9"/>
        </w:rPr>
        <w:footnoteRef/>
      </w:r>
      <w:r>
        <w:t xml:space="preserve"> </w:t>
      </w:r>
      <w:r>
        <w:rPr>
          <w:rFonts w:ascii="Arial" w:hAnsi="Arial" w:cs="Arial"/>
          <w:sz w:val="16"/>
          <w:szCs w:val="16"/>
        </w:rPr>
        <w:t>Informasi yang diberikan berdasarkan hasil yang dikumpulkan selama bulan April 2025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A644A1"/>
    <w:multiLevelType w:val="multilevel"/>
    <w:tmpl w:val="15A644A1"/>
    <w:lvl w:ilvl="0" w:tentative="0">
      <w:start w:val="1"/>
      <w:numFmt w:val="bullet"/>
      <w:lvlText w:val=""/>
      <w:lvlJc w:val="left"/>
      <w:pPr>
        <w:ind w:left="880" w:hanging="440"/>
      </w:pPr>
      <w:rPr>
        <w:rFonts w:hint="default" w:ascii="Wingdings" w:hAnsi="Wingdings"/>
        <w:sz w:val="16"/>
        <w:szCs w:val="16"/>
      </w:rPr>
    </w:lvl>
    <w:lvl w:ilvl="1" w:tentative="0">
      <w:start w:val="1"/>
      <w:numFmt w:val="bullet"/>
      <w:lvlText w:val=""/>
      <w:lvlJc w:val="left"/>
      <w:pPr>
        <w:ind w:left="1320" w:hanging="440"/>
      </w:pPr>
      <w:rPr>
        <w:rFonts w:hint="default" w:ascii="Wingdings" w:hAnsi="Wingdings"/>
      </w:rPr>
    </w:lvl>
    <w:lvl w:ilvl="2" w:tentative="0">
      <w:start w:val="1"/>
      <w:numFmt w:val="bullet"/>
      <w:lvlText w:val=""/>
      <w:lvlJc w:val="left"/>
      <w:pPr>
        <w:ind w:left="1760" w:hanging="440"/>
      </w:pPr>
      <w:rPr>
        <w:rFonts w:hint="default" w:ascii="Wingdings" w:hAnsi="Wingdings"/>
      </w:rPr>
    </w:lvl>
    <w:lvl w:ilvl="3" w:tentative="0">
      <w:start w:val="1"/>
      <w:numFmt w:val="bullet"/>
      <w:lvlText w:val=""/>
      <w:lvlJc w:val="left"/>
      <w:pPr>
        <w:ind w:left="2200" w:hanging="440"/>
      </w:pPr>
      <w:rPr>
        <w:rFonts w:hint="default" w:ascii="Wingdings" w:hAnsi="Wingdings"/>
      </w:rPr>
    </w:lvl>
    <w:lvl w:ilvl="4" w:tentative="0">
      <w:start w:val="1"/>
      <w:numFmt w:val="bullet"/>
      <w:lvlText w:val=""/>
      <w:lvlJc w:val="left"/>
      <w:pPr>
        <w:ind w:left="2640" w:hanging="440"/>
      </w:pPr>
      <w:rPr>
        <w:rFonts w:hint="default" w:ascii="Wingdings" w:hAnsi="Wingdings"/>
      </w:rPr>
    </w:lvl>
    <w:lvl w:ilvl="5" w:tentative="0">
      <w:start w:val="1"/>
      <w:numFmt w:val="bullet"/>
      <w:lvlText w:val=""/>
      <w:lvlJc w:val="left"/>
      <w:pPr>
        <w:ind w:left="3080" w:hanging="440"/>
      </w:pPr>
      <w:rPr>
        <w:rFonts w:hint="default" w:ascii="Wingdings" w:hAnsi="Wingdings"/>
      </w:rPr>
    </w:lvl>
    <w:lvl w:ilvl="6" w:tentative="0">
      <w:start w:val="1"/>
      <w:numFmt w:val="bullet"/>
      <w:lvlText w:val=""/>
      <w:lvlJc w:val="left"/>
      <w:pPr>
        <w:ind w:left="3520" w:hanging="440"/>
      </w:pPr>
      <w:rPr>
        <w:rFonts w:hint="default" w:ascii="Wingdings" w:hAnsi="Wingdings"/>
      </w:rPr>
    </w:lvl>
    <w:lvl w:ilvl="7" w:tentative="0">
      <w:start w:val="1"/>
      <w:numFmt w:val="bullet"/>
      <w:lvlText w:val=""/>
      <w:lvlJc w:val="left"/>
      <w:pPr>
        <w:ind w:left="3960" w:hanging="440"/>
      </w:pPr>
      <w:rPr>
        <w:rFonts w:hint="default" w:ascii="Wingdings" w:hAnsi="Wingdings"/>
      </w:rPr>
    </w:lvl>
    <w:lvl w:ilvl="8" w:tentative="0">
      <w:start w:val="1"/>
      <w:numFmt w:val="bullet"/>
      <w:lvlText w:val=""/>
      <w:lvlJc w:val="left"/>
      <w:pPr>
        <w:ind w:left="440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800"/>
  <w:displayHorizontalDrawingGridEvery w:val="0"/>
  <w:displayVerticalDrawingGridEvery w:val="2"/>
  <w:noPunctuationKerning w:val="1"/>
  <w:characterSpacingControl w:val="doNotCompress"/>
  <w:footnotePr>
    <w:footnote w:id="8"/>
    <w:footnote w:id="9"/>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9C4"/>
    <w:rsid w:val="00063E77"/>
    <w:rsid w:val="001B7971"/>
    <w:rsid w:val="001C726A"/>
    <w:rsid w:val="002019C4"/>
    <w:rsid w:val="002538F2"/>
    <w:rsid w:val="002778B0"/>
    <w:rsid w:val="002B0069"/>
    <w:rsid w:val="002F1832"/>
    <w:rsid w:val="003371E8"/>
    <w:rsid w:val="003401B4"/>
    <w:rsid w:val="003A4E6C"/>
    <w:rsid w:val="003F5F88"/>
    <w:rsid w:val="004161E9"/>
    <w:rsid w:val="004E3C02"/>
    <w:rsid w:val="00530791"/>
    <w:rsid w:val="00532823"/>
    <w:rsid w:val="0058488D"/>
    <w:rsid w:val="005A3A7E"/>
    <w:rsid w:val="005B454F"/>
    <w:rsid w:val="00657DB4"/>
    <w:rsid w:val="006E0E83"/>
    <w:rsid w:val="007023E3"/>
    <w:rsid w:val="00735174"/>
    <w:rsid w:val="007508FA"/>
    <w:rsid w:val="007A3365"/>
    <w:rsid w:val="007C1F5B"/>
    <w:rsid w:val="007F2067"/>
    <w:rsid w:val="00824703"/>
    <w:rsid w:val="00970034"/>
    <w:rsid w:val="00977542"/>
    <w:rsid w:val="00985603"/>
    <w:rsid w:val="009D54C6"/>
    <w:rsid w:val="00A369E8"/>
    <w:rsid w:val="00A37D59"/>
    <w:rsid w:val="00A6410A"/>
    <w:rsid w:val="00AC1FE1"/>
    <w:rsid w:val="00B5009C"/>
    <w:rsid w:val="00BB0C26"/>
    <w:rsid w:val="00BC3FE1"/>
    <w:rsid w:val="00BF017E"/>
    <w:rsid w:val="00C0053B"/>
    <w:rsid w:val="00C250F7"/>
    <w:rsid w:val="00C472D9"/>
    <w:rsid w:val="00C6612F"/>
    <w:rsid w:val="00C81123"/>
    <w:rsid w:val="00C918E7"/>
    <w:rsid w:val="00CA701A"/>
    <w:rsid w:val="00D03C9F"/>
    <w:rsid w:val="00D271DC"/>
    <w:rsid w:val="00D44497"/>
    <w:rsid w:val="00DC50D5"/>
    <w:rsid w:val="00DC51ED"/>
    <w:rsid w:val="00EE2514"/>
    <w:rsid w:val="00F122CE"/>
    <w:rsid w:val="00F16061"/>
    <w:rsid w:val="00F93E5C"/>
    <w:rsid w:val="00F947B3"/>
    <w:rsid w:val="00FB544E"/>
    <w:rsid w:val="00FF778B"/>
    <w:rsid w:val="1AD77F4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jc w:val="left"/>
    </w:pPr>
    <w:rPr>
      <w:rFonts w:asciiTheme="minorHAnsi" w:hAnsiTheme="minorHAnsi" w:eastAsiaTheme="minorEastAsia" w:cstheme="minorBidi"/>
      <w:kern w:val="0"/>
      <w:sz w:val="24"/>
      <w:szCs w:val="24"/>
      <w:lang w:val="en-US" w:eastAsia="ja-JP"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pPr>
      <w:spacing w:after="0" w:line="240" w:lineRule="auto"/>
    </w:pPr>
    <w:rPr>
      <w:rFonts w:asciiTheme="majorHAnsi" w:hAnsiTheme="majorHAnsi" w:eastAsiaTheme="majorEastAsia" w:cstheme="majorBidi"/>
      <w:sz w:val="18"/>
      <w:szCs w:val="18"/>
    </w:rPr>
  </w:style>
  <w:style w:type="character" w:styleId="5">
    <w:name w:val="annotation reference"/>
    <w:basedOn w:val="2"/>
    <w:semiHidden/>
    <w:unhideWhenUsed/>
    <w:qFormat/>
    <w:uiPriority w:val="99"/>
    <w:rPr>
      <w:sz w:val="18"/>
      <w:szCs w:val="18"/>
    </w:rPr>
  </w:style>
  <w:style w:type="paragraph" w:styleId="6">
    <w:name w:val="annotation text"/>
    <w:basedOn w:val="1"/>
    <w:link w:val="17"/>
    <w:unhideWhenUsed/>
    <w:qFormat/>
    <w:uiPriority w:val="99"/>
  </w:style>
  <w:style w:type="paragraph" w:styleId="7">
    <w:name w:val="annotation subject"/>
    <w:basedOn w:val="6"/>
    <w:next w:val="6"/>
    <w:link w:val="20"/>
    <w:semiHidden/>
    <w:unhideWhenUsed/>
    <w:qFormat/>
    <w:uiPriority w:val="99"/>
    <w:pPr>
      <w:spacing w:line="240" w:lineRule="auto"/>
    </w:pPr>
    <w:rPr>
      <w:b/>
      <w:bCs/>
      <w:sz w:val="20"/>
      <w:szCs w:val="20"/>
    </w:rPr>
  </w:style>
  <w:style w:type="paragraph" w:styleId="8">
    <w:name w:val="footer"/>
    <w:basedOn w:val="1"/>
    <w:link w:val="14"/>
    <w:unhideWhenUsed/>
    <w:uiPriority w:val="99"/>
    <w:pPr>
      <w:tabs>
        <w:tab w:val="center" w:pos="4680"/>
        <w:tab w:val="right" w:pos="9360"/>
      </w:tabs>
      <w:spacing w:after="0" w:line="240" w:lineRule="auto"/>
    </w:pPr>
  </w:style>
  <w:style w:type="character" w:styleId="9">
    <w:name w:val="footnote reference"/>
    <w:basedOn w:val="2"/>
    <w:semiHidden/>
    <w:unhideWhenUsed/>
    <w:qFormat/>
    <w:uiPriority w:val="99"/>
    <w:rPr>
      <w:vertAlign w:val="superscript"/>
    </w:rPr>
  </w:style>
  <w:style w:type="paragraph" w:styleId="10">
    <w:name w:val="footnote text"/>
    <w:basedOn w:val="1"/>
    <w:link w:val="16"/>
    <w:semiHidden/>
    <w:unhideWhenUsed/>
    <w:qFormat/>
    <w:uiPriority w:val="99"/>
    <w:pPr>
      <w:spacing w:after="0" w:line="240" w:lineRule="auto"/>
    </w:pPr>
    <w:rPr>
      <w:sz w:val="20"/>
      <w:szCs w:val="20"/>
    </w:rPr>
  </w:style>
  <w:style w:type="paragraph" w:styleId="11">
    <w:name w:val="header"/>
    <w:basedOn w:val="1"/>
    <w:link w:val="19"/>
    <w:unhideWhenUsed/>
    <w:qFormat/>
    <w:uiPriority w:val="99"/>
    <w:pPr>
      <w:tabs>
        <w:tab w:val="center" w:pos="4513"/>
        <w:tab w:val="right" w:pos="9026"/>
      </w:tabs>
      <w:snapToGrid w:val="0"/>
    </w:pPr>
  </w:style>
  <w:style w:type="character" w:styleId="12">
    <w:name w:val="Hyperlink"/>
    <w:basedOn w:val="2"/>
    <w:unhideWhenUsed/>
    <w:qFormat/>
    <w:uiPriority w:val="99"/>
    <w:rPr>
      <w:color w:val="0563C1" w:themeColor="hyperlink"/>
      <w:u w:val="single"/>
      <w14:textFill>
        <w14:solidFill>
          <w14:schemeClr w14:val="hlink"/>
        </w14:solidFill>
      </w14:textFill>
    </w:rPr>
  </w:style>
  <w:style w:type="paragraph" w:styleId="13">
    <w:name w:val="List Paragraph"/>
    <w:basedOn w:val="1"/>
    <w:qFormat/>
    <w:uiPriority w:val="34"/>
    <w:pPr>
      <w:ind w:left="720"/>
      <w:contextualSpacing/>
    </w:pPr>
  </w:style>
  <w:style w:type="character" w:customStyle="1" w:styleId="14">
    <w:name w:val="Footer Char"/>
    <w:basedOn w:val="2"/>
    <w:link w:val="8"/>
    <w:qFormat/>
    <w:uiPriority w:val="99"/>
    <w:rPr>
      <w:kern w:val="0"/>
      <w:sz w:val="24"/>
      <w:szCs w:val="24"/>
      <w:lang w:eastAsia="ja-JP"/>
    </w:rPr>
  </w:style>
  <w:style w:type="character" w:customStyle="1" w:styleId="15">
    <w:name w:val="wacimagecontainer"/>
    <w:basedOn w:val="2"/>
    <w:qFormat/>
    <w:uiPriority w:val="0"/>
  </w:style>
  <w:style w:type="character" w:customStyle="1" w:styleId="16">
    <w:name w:val="Footnote Text Char"/>
    <w:basedOn w:val="2"/>
    <w:link w:val="10"/>
    <w:semiHidden/>
    <w:qFormat/>
    <w:uiPriority w:val="99"/>
    <w:rPr>
      <w:kern w:val="0"/>
      <w:szCs w:val="20"/>
      <w:lang w:eastAsia="ja-JP"/>
    </w:rPr>
  </w:style>
  <w:style w:type="character" w:customStyle="1" w:styleId="17">
    <w:name w:val="Comment Text Char"/>
    <w:basedOn w:val="2"/>
    <w:link w:val="6"/>
    <w:qFormat/>
    <w:uiPriority w:val="99"/>
    <w:rPr>
      <w:kern w:val="0"/>
      <w:sz w:val="24"/>
      <w:szCs w:val="24"/>
      <w:lang w:eastAsia="ja-JP"/>
    </w:rPr>
  </w:style>
  <w:style w:type="character" w:customStyle="1" w:styleId="18">
    <w:name w:val="Balloon Text Char"/>
    <w:basedOn w:val="2"/>
    <w:link w:val="4"/>
    <w:semiHidden/>
    <w:qFormat/>
    <w:uiPriority w:val="99"/>
    <w:rPr>
      <w:rFonts w:asciiTheme="majorHAnsi" w:hAnsiTheme="majorHAnsi" w:eastAsiaTheme="majorEastAsia" w:cstheme="majorBidi"/>
      <w:kern w:val="0"/>
      <w:sz w:val="18"/>
      <w:szCs w:val="18"/>
      <w:lang w:eastAsia="ja-JP"/>
    </w:rPr>
  </w:style>
  <w:style w:type="character" w:customStyle="1" w:styleId="19">
    <w:name w:val="Header Char"/>
    <w:basedOn w:val="2"/>
    <w:link w:val="11"/>
    <w:qFormat/>
    <w:uiPriority w:val="99"/>
    <w:rPr>
      <w:kern w:val="0"/>
      <w:sz w:val="24"/>
      <w:szCs w:val="24"/>
      <w:lang w:eastAsia="ja-JP"/>
    </w:rPr>
  </w:style>
  <w:style w:type="character" w:customStyle="1" w:styleId="20">
    <w:name w:val="Comment Subject Char"/>
    <w:basedOn w:val="17"/>
    <w:link w:val="7"/>
    <w:semiHidden/>
    <w:qFormat/>
    <w:uiPriority w:val="99"/>
    <w:rPr>
      <w:b/>
      <w:bCs/>
      <w:kern w:val="0"/>
      <w:sz w:val="24"/>
      <w:szCs w:val="20"/>
      <w:lang w:eastAsia="ja-JP"/>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8845CD-4EB0-4773-95C7-ED6817DA2840}">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1059</Words>
  <Characters>6042</Characters>
  <Lines>50</Lines>
  <Paragraphs>14</Paragraphs>
  <TotalTime>15</TotalTime>
  <ScaleCrop>false</ScaleCrop>
  <LinksUpToDate>false</LinksUpToDate>
  <CharactersWithSpaces>7087</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2025-06-18T11:32:00Z</dcterms:created>
  <dc:creator>김민수/전략홍보(VD)/삼성전자</dc:creator>
  <cp:lastModifiedBy>Arief Burhan</cp:lastModifiedBy>
  <cp:lastPrinted>2025-06-17T11:24:00Z</cp:lastPrinted>
  <dcterms:modified xsi:type="dcterms:W3CDTF">2025-06-18T13:47:42Z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1033-12.2.0.21546</vt:lpwstr>
  </property>
  <property fmtid="{D5CDD505-2E9C-101B-9397-08002B2CF9AE}" pid="4" name="ICV">
    <vt:lpwstr>58B87F437E474F6E9E3A4A6E19B4E421_12</vt:lpwstr>
  </property>
</Properties>
</file>